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67"/>
          <w:tab w:val="left" w:pos="4678"/>
        </w:tabs>
        <w:snapToGrid w:val="0"/>
        <w:spacing w:line="360" w:lineRule="auto"/>
        <w:rPr>
          <w:rFonts w:ascii="Arial" w:hAnsi="Arial" w:cs="Arial" w:eastAsiaTheme="minorEastAsia"/>
          <w:b/>
          <w:sz w:val="24"/>
          <w:szCs w:val="24"/>
          <w:lang w:val="en-US" w:eastAsia="zh-CN"/>
        </w:rPr>
      </w:pPr>
      <w:r>
        <w:rPr>
          <w:rFonts w:ascii="Arial" w:hAnsi="Arial" w:cs="Arial"/>
          <w:b/>
          <w:sz w:val="24"/>
          <w:szCs w:val="24"/>
        </w:rPr>
        <w:t>3GPP TSG RAN WG1 Meeting #9</w:t>
      </w:r>
      <w:r>
        <w:rPr>
          <w:rFonts w:hint="eastAsia" w:ascii="Arial" w:hAnsi="Arial" w:cs="Arial" w:eastAsiaTheme="minorEastAsia"/>
          <w:b/>
          <w:sz w:val="24"/>
          <w:szCs w:val="24"/>
          <w:lang w:val="en-US" w:eastAsia="zh-CN"/>
        </w:rPr>
        <w:t>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cs="Arial" w:eastAsiaTheme="minorEastAsia"/>
          <w:b/>
          <w:sz w:val="24"/>
          <w:szCs w:val="24"/>
          <w:lang w:eastAsia="zh-CN"/>
        </w:rPr>
        <w:t>R1-1901626</w:t>
      </w:r>
    </w:p>
    <w:p>
      <w:pPr>
        <w:tabs>
          <w:tab w:val="center" w:pos="4536"/>
          <w:tab w:val="right" w:pos="8280"/>
          <w:tab w:val="right" w:pos="9639"/>
        </w:tabs>
        <w:snapToGrid w:val="0"/>
        <w:spacing w:after="0" w:line="360" w:lineRule="auto"/>
        <w:rPr>
          <w:rFonts w:ascii="Arial" w:hAnsi="Arial" w:cs="Arial" w:eastAsiaTheme="minorEastAsia"/>
          <w:b/>
          <w:bCs/>
          <w:sz w:val="28"/>
          <w:lang w:eastAsia="zh-CN"/>
        </w:rPr>
      </w:pPr>
      <w:r>
        <w:rPr>
          <w:rFonts w:ascii="Arial" w:hAnsi="Arial" w:cs="Arial" w:eastAsiaTheme="minorEastAsia"/>
          <w:b/>
          <w:sz w:val="24"/>
          <w:lang w:val="en-US" w:eastAsia="zh-CN"/>
        </w:rPr>
        <w:t>Athens</w:t>
      </w:r>
      <w:r>
        <w:rPr>
          <w:rFonts w:ascii="Arial" w:hAnsi="Arial" w:cs="Arial"/>
          <w:b/>
          <w:sz w:val="24"/>
        </w:rPr>
        <w:t xml:space="preserve">, </w:t>
      </w:r>
      <w:r>
        <w:rPr>
          <w:rFonts w:ascii="Arial" w:hAnsi="Arial" w:cs="Arial" w:eastAsiaTheme="minorEastAsia"/>
          <w:b/>
          <w:sz w:val="24"/>
          <w:lang w:eastAsia="zh-CN"/>
        </w:rPr>
        <w:t>Greece</w:t>
      </w:r>
      <w:r>
        <w:rPr>
          <w:rFonts w:ascii="Arial" w:hAnsi="Arial" w:cs="Arial"/>
          <w:b/>
          <w:sz w:val="24"/>
        </w:rPr>
        <w:t xml:space="preserve">, </w:t>
      </w:r>
      <w:r>
        <w:rPr>
          <w:rFonts w:ascii="Arial" w:hAnsi="Arial" w:cs="Arial" w:eastAsiaTheme="minorEastAsia"/>
          <w:b/>
          <w:sz w:val="24"/>
          <w:lang w:val="en-US" w:eastAsia="zh-CN"/>
        </w:rPr>
        <w:t>Feb</w:t>
      </w:r>
      <w:r>
        <w:rPr>
          <w:rFonts w:ascii="Arial" w:hAnsi="Arial" w:cs="Arial"/>
          <w:b/>
          <w:sz w:val="24"/>
        </w:rPr>
        <w:t xml:space="preserve"> </w:t>
      </w:r>
      <w:r>
        <w:rPr>
          <w:rFonts w:ascii="Arial" w:hAnsi="Arial" w:cs="Arial" w:eastAsiaTheme="minorEastAsia"/>
          <w:b/>
          <w:sz w:val="24"/>
          <w:lang w:val="en-US" w:eastAsia="zh-CN"/>
        </w:rPr>
        <w:t>25</w:t>
      </w:r>
      <w:r>
        <w:rPr>
          <w:rFonts w:ascii="Arial" w:hAnsi="Arial" w:cs="Arial"/>
          <w:b/>
          <w:sz w:val="24"/>
          <w:vertAlign w:val="superscript"/>
          <w:lang w:val="en-US"/>
        </w:rPr>
        <w:t>th</w:t>
      </w:r>
      <w:r>
        <w:rPr>
          <w:rFonts w:ascii="Arial" w:hAnsi="Arial" w:cs="Arial"/>
          <w:b/>
          <w:sz w:val="24"/>
        </w:rPr>
        <w:t xml:space="preserve"> –</w:t>
      </w:r>
      <w:r>
        <w:rPr>
          <w:rFonts w:ascii="Arial" w:hAnsi="Arial" w:eastAsia="宋体" w:cs="Arial"/>
          <w:b/>
          <w:sz w:val="24"/>
          <w:lang w:val="en-US" w:eastAsia="zh-CN"/>
        </w:rPr>
        <w:t xml:space="preserve"> </w:t>
      </w:r>
      <w:r>
        <w:rPr>
          <w:rFonts w:ascii="Arial" w:hAnsi="Arial" w:cs="Arial" w:eastAsiaTheme="minorEastAsia"/>
          <w:b/>
          <w:sz w:val="24"/>
          <w:lang w:eastAsia="zh-CN"/>
        </w:rPr>
        <w:t>March 1</w:t>
      </w:r>
      <w:r>
        <w:rPr>
          <w:rFonts w:ascii="Arial" w:hAnsi="Arial" w:cs="Arial" w:eastAsiaTheme="minorEastAsia"/>
          <w:b/>
          <w:sz w:val="24"/>
          <w:vertAlign w:val="superscript"/>
          <w:lang w:val="en-US" w:eastAsia="zh-CN"/>
        </w:rPr>
        <w:t>st</w:t>
      </w:r>
      <w:r>
        <w:rPr>
          <w:rFonts w:ascii="Arial" w:hAnsi="Arial" w:cs="Arial"/>
          <w:b/>
          <w:sz w:val="24"/>
        </w:rPr>
        <w:t>, 201</w:t>
      </w:r>
      <w:r>
        <w:rPr>
          <w:rFonts w:ascii="Arial" w:hAnsi="Arial" w:cs="Arial" w:eastAsiaTheme="minorEastAsia"/>
          <w:b/>
          <w:sz w:val="24"/>
          <w:lang w:eastAsia="zh-CN"/>
        </w:rPr>
        <w:t>9</w:t>
      </w:r>
    </w:p>
    <w:p>
      <w:pPr>
        <w:tabs>
          <w:tab w:val="center" w:pos="4536"/>
          <w:tab w:val="right" w:pos="8280"/>
          <w:tab w:val="right" w:pos="9781"/>
        </w:tabs>
        <w:snapToGrid w:val="0"/>
        <w:spacing w:after="0" w:line="360" w:lineRule="auto"/>
        <w:jc w:val="left"/>
        <w:rPr>
          <w:rFonts w:ascii="Arial" w:hAnsi="Arial" w:cs="Arial"/>
          <w:b/>
          <w:bCs/>
          <w:sz w:val="24"/>
          <w:szCs w:val="24"/>
          <w:lang w:val="en-US" w:eastAsia="ja-JP"/>
        </w:rPr>
      </w:pPr>
    </w:p>
    <w:p>
      <w:pPr>
        <w:tabs>
          <w:tab w:val="center" w:pos="4536"/>
          <w:tab w:val="right" w:pos="8280"/>
          <w:tab w:val="right" w:pos="9781"/>
        </w:tabs>
        <w:snapToGrid w:val="0"/>
        <w:spacing w:after="0" w:line="360" w:lineRule="auto"/>
        <w:jc w:val="left"/>
        <w:rPr>
          <w:rFonts w:ascii="Arial" w:hAnsi="Arial" w:cs="Arial" w:eastAsiaTheme="minorEastAsia"/>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 Sanechips</w:t>
      </w:r>
    </w:p>
    <w:p>
      <w:pPr>
        <w:tabs>
          <w:tab w:val="center" w:pos="4536"/>
          <w:tab w:val="right" w:pos="8280"/>
          <w:tab w:val="right" w:pos="9781"/>
        </w:tabs>
        <w:snapToGrid w:val="0"/>
        <w:spacing w:after="0" w:line="360" w:lineRule="auto"/>
        <w:jc w:val="left"/>
        <w:rPr>
          <w:rFonts w:ascii="Arial" w:hAnsi="Arial" w:cs="Arial" w:eastAsiaTheme="minorEastAsia"/>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eastAsiaTheme="minorEastAsia"/>
          <w:b/>
          <w:bCs/>
          <w:sz w:val="24"/>
          <w:szCs w:val="24"/>
          <w:lang w:val="en-US" w:eastAsia="zh-CN"/>
        </w:rPr>
        <w:t>Considerations on the channel structure of msgA</w:t>
      </w:r>
    </w:p>
    <w:p>
      <w:pPr>
        <w:tabs>
          <w:tab w:val="center" w:pos="4536"/>
          <w:tab w:val="right" w:pos="8280"/>
          <w:tab w:val="right" w:pos="9781"/>
        </w:tabs>
        <w:snapToGrid w:val="0"/>
        <w:spacing w:after="0" w:line="360" w:lineRule="auto"/>
        <w:jc w:val="left"/>
        <w:rPr>
          <w:rFonts w:ascii="Arial" w:hAnsi="Arial" w:cs="Arial" w:eastAsiaTheme="minorEastAsia"/>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cs="Arial" w:eastAsiaTheme="minorEastAsia"/>
          <w:b/>
          <w:bCs/>
          <w:sz w:val="24"/>
          <w:szCs w:val="24"/>
          <w:lang w:val="en-US" w:eastAsia="zh-CN"/>
        </w:rPr>
        <w:t>7</w:t>
      </w:r>
      <w:r>
        <w:rPr>
          <w:rFonts w:ascii="Arial" w:hAnsi="Arial" w:cs="Arial" w:eastAsiaTheme="minorEastAsia"/>
          <w:b/>
          <w:bCs/>
          <w:sz w:val="24"/>
          <w:szCs w:val="24"/>
          <w:lang w:val="en-US" w:eastAsia="zh-CN"/>
        </w:rPr>
        <w:t>.</w:t>
      </w:r>
      <w:r>
        <w:rPr>
          <w:rFonts w:hint="eastAsia" w:ascii="Arial" w:hAnsi="Arial" w:cs="Arial" w:eastAsiaTheme="minorEastAsia"/>
          <w:b/>
          <w:bCs/>
          <w:sz w:val="24"/>
          <w:szCs w:val="24"/>
          <w:lang w:val="en-US" w:eastAsia="zh-CN"/>
        </w:rPr>
        <w:t>2</w:t>
      </w:r>
      <w:r>
        <w:rPr>
          <w:rFonts w:ascii="Arial" w:hAnsi="Arial" w:cs="Arial" w:eastAsiaTheme="minorEastAsia"/>
          <w:b/>
          <w:bCs/>
          <w:sz w:val="24"/>
          <w:szCs w:val="24"/>
          <w:lang w:val="en-US" w:eastAsia="zh-CN"/>
        </w:rPr>
        <w:t>.</w:t>
      </w:r>
      <w:r>
        <w:rPr>
          <w:rFonts w:hint="eastAsia" w:ascii="Arial" w:hAnsi="Arial" w:cs="Arial" w:eastAsiaTheme="minorEastAsia"/>
          <w:b/>
          <w:bCs/>
          <w:sz w:val="24"/>
          <w:szCs w:val="24"/>
          <w:lang w:val="en-US" w:eastAsia="zh-CN"/>
        </w:rPr>
        <w:t>1.1</w:t>
      </w:r>
    </w:p>
    <w:p>
      <w:pPr>
        <w:tabs>
          <w:tab w:val="center" w:pos="4536"/>
          <w:tab w:val="right" w:pos="8280"/>
          <w:tab w:val="right" w:pos="9781"/>
        </w:tabs>
        <w:snapToGrid w:val="0"/>
        <w:spacing w:after="0" w:line="360"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spacing w:line="360" w:lineRule="auto"/>
        <w:rPr>
          <w:rFonts w:cs="Arial"/>
        </w:rPr>
      </w:pPr>
      <w:r>
        <w:rPr>
          <w:rFonts w:cs="Arial"/>
        </w:rPr>
        <w:t>Introduction</w:t>
      </w:r>
    </w:p>
    <w:p>
      <w:pPr>
        <w:overflowPunct/>
        <w:autoSpaceDE/>
        <w:autoSpaceDN/>
        <w:snapToGrid w:val="0"/>
        <w:spacing w:afterLines="50"/>
        <w:textAlignment w:val="auto"/>
        <w:rPr>
          <w:rFonts w:eastAsiaTheme="minorEastAsia"/>
          <w:lang w:val="en-US" w:eastAsia="zh-CN"/>
        </w:rPr>
      </w:pPr>
      <w:r>
        <w:rPr>
          <w:rFonts w:eastAsiaTheme="minorEastAsia"/>
          <w:lang w:val="en-US" w:eastAsia="zh-CN"/>
        </w:rPr>
        <w:t xml:space="preserve">It is approved in WID [1] that channel structure of </w:t>
      </w:r>
      <w:r>
        <w:rPr>
          <w:rFonts w:hint="eastAsia" w:eastAsiaTheme="minorEastAsia"/>
          <w:lang w:val="en-US" w:eastAsia="zh-CN"/>
        </w:rPr>
        <w:t>msgA</w:t>
      </w:r>
      <w:r>
        <w:rPr>
          <w:rFonts w:eastAsiaTheme="minorEastAsia"/>
          <w:lang w:val="en-US" w:eastAsia="zh-CN"/>
        </w:rPr>
        <w:t xml:space="preserve"> is preamble and PUSCH carrying payload, wherein the Rel.15 NR preamble design will be reused, and the PUSCH design for payload transmission will also follow the Rel.15 NR. In this contribution, the channel structure of msgA in 2-step RACH is discussed, including radio resources of payload, mapping between PRACH preamble and PUSCH resources including physical resources and DMRS, as well as supported payload size and MCS. </w:t>
      </w:r>
    </w:p>
    <w:p>
      <w:pPr>
        <w:pStyle w:val="2"/>
        <w:spacing w:line="360" w:lineRule="auto"/>
        <w:rPr>
          <w:rFonts w:cs="Arial"/>
        </w:rPr>
      </w:pPr>
      <w:r>
        <w:rPr>
          <w:rFonts w:cs="Arial"/>
        </w:rPr>
        <w:t xml:space="preserve">Channel structure for </w:t>
      </w:r>
      <w:r>
        <w:rPr>
          <w:rFonts w:hint="eastAsia" w:cs="Arial"/>
        </w:rPr>
        <w:t>msgA</w:t>
      </w:r>
    </w:p>
    <w:p>
      <w:pPr>
        <w:pStyle w:val="3"/>
        <w:spacing w:line="360" w:lineRule="auto"/>
        <w:rPr>
          <w:rFonts w:eastAsiaTheme="minorEastAsia"/>
        </w:rPr>
      </w:pPr>
      <w:r>
        <w:rPr>
          <w:rFonts w:eastAsiaTheme="minorEastAsia"/>
        </w:rPr>
        <w:t>Radio resources of preamble and payload</w:t>
      </w:r>
    </w:p>
    <w:p>
      <w:pPr>
        <w:snapToGrid w:val="0"/>
        <w:spacing w:afterLines="50"/>
        <w:rPr>
          <w:rFonts w:eastAsiaTheme="minorEastAsia"/>
          <w:lang w:val="en-US" w:eastAsia="zh-CN"/>
        </w:rPr>
      </w:pPr>
      <w:r>
        <w:rPr>
          <w:rFonts w:eastAsiaTheme="minorEastAsia"/>
          <w:lang w:val="en-US" w:eastAsia="zh-CN"/>
        </w:rPr>
        <w:t>In the existing 4-step RACH process, the resources for preamble transmission is determined, i.e.</w:t>
      </w:r>
      <w:r>
        <w:rPr>
          <w:rFonts w:hint="eastAsia" w:eastAsiaTheme="minorEastAsia"/>
          <w:lang w:val="en-US" w:eastAsia="zh-CN"/>
        </w:rPr>
        <w:t xml:space="preserve"> </w:t>
      </w:r>
      <w:r>
        <w:rPr>
          <w:rFonts w:eastAsiaTheme="minorEastAsia"/>
          <w:lang w:val="en-US" w:eastAsia="zh-CN"/>
        </w:rPr>
        <w:t xml:space="preserve">preamble format and periodic RO (Random-access Occasion) are defined </w:t>
      </w:r>
      <w:r>
        <w:rPr>
          <w:rFonts w:hint="eastAsia" w:eastAsiaTheme="minorEastAsia"/>
          <w:lang w:val="en-US" w:eastAsia="zh-CN"/>
        </w:rPr>
        <w:t xml:space="preserve">based on the </w:t>
      </w:r>
      <w:r>
        <w:rPr>
          <w:rFonts w:eastAsiaTheme="minorEastAsia"/>
          <w:lang w:val="en-US" w:eastAsia="zh-CN"/>
        </w:rPr>
        <w:t>Table 6.3.3.2-2/3/4</w:t>
      </w:r>
      <w:r>
        <w:rPr>
          <w:rFonts w:hint="eastAsia" w:eastAsiaTheme="minorEastAsia"/>
          <w:lang w:val="en-US" w:eastAsia="zh-CN"/>
        </w:rPr>
        <w:t xml:space="preserve"> in TS 38.211</w:t>
      </w:r>
      <w:r>
        <w:rPr>
          <w:rFonts w:eastAsiaTheme="minorEastAsia"/>
          <w:lang w:val="en-US" w:eastAsia="zh-CN"/>
        </w:rPr>
        <w:t xml:space="preserve">, and the detailed time-frequency resources within each RO are defined based on the higher-layer parameter </w:t>
      </w:r>
      <w:r>
        <w:rPr>
          <w:rFonts w:eastAsiaTheme="minorEastAsia"/>
          <w:i/>
          <w:lang w:val="en-US" w:eastAsia="zh-CN"/>
        </w:rPr>
        <w:t>msg1-FrequencyStart</w:t>
      </w:r>
      <w:r>
        <w:rPr>
          <w:rFonts w:eastAsiaTheme="minorEastAsia"/>
          <w:lang w:val="en-US" w:eastAsia="zh-CN"/>
        </w:rPr>
        <w:t xml:space="preserve">. With the SS RSRP measurement, the UE would choose a RO for preamble transmission mapped to the </w:t>
      </w:r>
      <w:r>
        <w:rPr>
          <w:rFonts w:hint="eastAsia" w:eastAsiaTheme="minorEastAsia"/>
          <w:lang w:val="en-US" w:eastAsia="zh-CN"/>
        </w:rPr>
        <w:t>suitable</w:t>
      </w:r>
      <w:r>
        <w:rPr>
          <w:rFonts w:eastAsiaTheme="minorEastAsia"/>
          <w:lang w:val="en-US" w:eastAsia="zh-CN"/>
        </w:rPr>
        <w:t xml:space="preserve"> SSB. The preamble to be transmitted on the RO is further selected randomly from a certain preamble pool. The radio resources of a PRACH preamble therefore consists of </w:t>
      </w:r>
    </w:p>
    <w:p>
      <w:pPr>
        <w:pStyle w:val="117"/>
        <w:numPr>
          <w:ilvl w:val="0"/>
          <w:numId w:val="7"/>
        </w:numPr>
        <w:snapToGrid w:val="0"/>
        <w:spacing w:afterLines="50"/>
        <w:contextualSpacing w:val="0"/>
        <w:rPr>
          <w:rFonts w:eastAsiaTheme="minorEastAsia"/>
          <w:lang w:val="en-US" w:eastAsia="zh-CN"/>
        </w:rPr>
      </w:pPr>
      <w:r>
        <w:rPr>
          <w:rFonts w:eastAsiaTheme="minorEastAsia"/>
          <w:lang w:val="en-US" w:eastAsia="zh-CN"/>
        </w:rPr>
        <w:t>code domain resource</w:t>
      </w:r>
      <w:r>
        <w:rPr>
          <w:rFonts w:hint="eastAsia" w:eastAsiaTheme="minorEastAsia"/>
          <w:lang w:val="en-US" w:eastAsia="zh-CN"/>
        </w:rPr>
        <w:t xml:space="preserve"> </w:t>
      </w:r>
      <w:r>
        <w:rPr>
          <w:rFonts w:eastAsiaTheme="minorEastAsia"/>
          <w:lang w:val="en-US" w:eastAsia="zh-CN"/>
        </w:rPr>
        <w:t>(i.e. the preamble)</w:t>
      </w:r>
    </w:p>
    <w:p>
      <w:pPr>
        <w:pStyle w:val="117"/>
        <w:numPr>
          <w:ilvl w:val="0"/>
          <w:numId w:val="7"/>
        </w:numPr>
        <w:snapToGrid w:val="0"/>
        <w:spacing w:afterLines="50"/>
        <w:contextualSpacing w:val="0"/>
        <w:rPr>
          <w:rFonts w:eastAsiaTheme="minorEastAsia"/>
          <w:lang w:val="en-US" w:eastAsia="zh-CN"/>
        </w:rPr>
      </w:pPr>
      <w:r>
        <w:rPr>
          <w:rFonts w:eastAsiaTheme="minorEastAsia"/>
          <w:lang w:val="en-US" w:eastAsia="zh-CN"/>
        </w:rPr>
        <w:t xml:space="preserve">time domain resource (i.e. </w:t>
      </w:r>
      <w:r>
        <w:rPr>
          <w:rFonts w:hint="eastAsia" w:eastAsiaTheme="minorEastAsia"/>
          <w:lang w:val="en-US" w:eastAsia="zh-CN"/>
        </w:rPr>
        <w:t>the subframe/</w:t>
      </w:r>
      <w:r>
        <w:rPr>
          <w:rFonts w:eastAsiaTheme="minorEastAsia"/>
          <w:lang w:val="en-US" w:eastAsia="zh-CN"/>
        </w:rPr>
        <w:t>the time slot in which the preamble is transmitted)</w:t>
      </w:r>
    </w:p>
    <w:p>
      <w:pPr>
        <w:pStyle w:val="117"/>
        <w:numPr>
          <w:ilvl w:val="0"/>
          <w:numId w:val="7"/>
        </w:numPr>
        <w:snapToGrid w:val="0"/>
        <w:spacing w:afterLines="50"/>
        <w:contextualSpacing w:val="0"/>
        <w:rPr>
          <w:rFonts w:eastAsiaTheme="minorEastAsia"/>
          <w:lang w:val="en-US" w:eastAsia="zh-CN"/>
        </w:rPr>
      </w:pPr>
      <w:r>
        <w:rPr>
          <w:rFonts w:eastAsiaTheme="minorEastAsia"/>
          <w:lang w:val="en-US" w:eastAsia="zh-CN"/>
        </w:rPr>
        <w:t>frequency domain resource (i.e. the frequency location of the preamble)</w:t>
      </w:r>
    </w:p>
    <w:p>
      <w:pPr>
        <w:snapToGrid w:val="0"/>
        <w:spacing w:afterLines="50"/>
        <w:rPr>
          <w:lang w:val="en-US" w:eastAsia="zh-CN"/>
        </w:rPr>
      </w:pPr>
      <w:r>
        <w:rPr>
          <w:bCs/>
          <w:lang w:val="en-US" w:eastAsia="zh-CN"/>
        </w:rPr>
        <w:t>For 2-step RACH, an additional payload will be transmitted in msgA for the first step, which includes at least the equivalent content of msg3 in 4-step RACH. The time-frequency resource of payload hence needs to be defined. Similar to RACH occasion, the pre-allocated PUSCH resource for payload can be made periodically, named as PUSCH occasion (PO). In practice, it may not be necessary to allow full flexibility of PUSCH resource allocated for the payload in msgA. For example, one-to-one association can be assumed between RO and PO, and thus the periodicity of RO and PO can be set as the same. In that case the resource allocation of RO can be simplified by defining a mapping rule between the RO and PO, as illustrated in Figure 1, w</w:t>
      </w:r>
      <w:r>
        <w:rPr>
          <w:rFonts w:hint="eastAsia"/>
          <w:bCs/>
          <w:lang w:val="en-US" w:eastAsia="zh-CN"/>
        </w:rPr>
        <w:t>here</w:t>
      </w:r>
      <w:r>
        <w:rPr>
          <w:bCs/>
          <w:lang w:val="en-US" w:eastAsia="zh-CN"/>
        </w:rPr>
        <w:t xml:space="preserve"> </w:t>
      </w:r>
      <m:oMath>
        <m:r>
          <w:rPr>
            <w:rFonts w:ascii="Cambria Math" w:hAnsi="Cambria Math"/>
            <w:lang w:val="en-US" w:eastAsia="zh-CN"/>
          </w:rPr>
          <m:t>∆</m:t>
        </m:r>
        <m:r>
          <m:rPr>
            <m:sty m:val="p"/>
          </m:rPr>
          <w:rPr>
            <w:rFonts w:ascii="Cambria Math" w:hAnsi="Cambria Math"/>
            <w:lang w:val="en-US" w:eastAsia="zh-CN"/>
          </w:rPr>
          <m:t>T</m:t>
        </m:r>
      </m:oMath>
      <w:r>
        <w:rPr>
          <w:rFonts w:hint="eastAsia" w:eastAsiaTheme="minorEastAsia"/>
          <w:bCs/>
          <w:lang w:val="en-US" w:eastAsia="zh-CN"/>
        </w:rPr>
        <w:t xml:space="preserve"> and</w:t>
      </w:r>
      <w:r>
        <w:rPr>
          <w:rFonts w:eastAsiaTheme="minorEastAsia"/>
          <w:bCs/>
          <w:lang w:val="en-US" w:eastAsia="zh-CN"/>
        </w:rPr>
        <w:t xml:space="preserve"> </w:t>
      </w:r>
      <m:oMath>
        <m:r>
          <w:rPr>
            <w:rFonts w:ascii="Cambria Math" w:hAnsi="Cambria Math"/>
            <w:lang w:val="en-US" w:eastAsia="zh-CN"/>
          </w:rPr>
          <m:t>∆</m:t>
        </m:r>
        <m:r>
          <m:rPr>
            <m:sty m:val="p"/>
          </m:rPr>
          <w:rPr>
            <w:rFonts w:ascii="Cambria Math" w:hAnsi="Cambria Math"/>
            <w:lang w:val="en-US" w:eastAsia="zh-CN"/>
          </w:rPr>
          <m:t>F</m:t>
        </m:r>
      </m:oMath>
      <w:r>
        <w:rPr>
          <w:rFonts w:hint="eastAsia" w:eastAsiaTheme="minorEastAsia"/>
          <w:bCs/>
          <w:lang w:val="en-US" w:eastAsia="zh-CN"/>
        </w:rPr>
        <w:t xml:space="preserve"> </w:t>
      </w:r>
      <w:r>
        <w:rPr>
          <w:rFonts w:hint="eastAsia"/>
          <w:bCs/>
          <w:lang w:val="en-US" w:eastAsia="zh-CN"/>
        </w:rPr>
        <w:t xml:space="preserve"> </w:t>
      </w:r>
      <w:r>
        <w:rPr>
          <w:bCs/>
          <w:lang w:val="en-US" w:eastAsia="zh-CN"/>
        </w:rPr>
        <w:t>are</w:t>
      </w:r>
      <w:r>
        <w:rPr>
          <w:rFonts w:hint="eastAsia"/>
          <w:bCs/>
          <w:lang w:val="en-US" w:eastAsia="zh-CN"/>
        </w:rPr>
        <w:t xml:space="preserve"> the time offset </w:t>
      </w:r>
      <w:r>
        <w:rPr>
          <w:bCs/>
          <w:lang w:val="en-US" w:eastAsia="zh-CN"/>
        </w:rPr>
        <w:t>and</w:t>
      </w:r>
      <w:r>
        <w:rPr>
          <w:rFonts w:hint="eastAsia"/>
          <w:bCs/>
          <w:lang w:val="en-US" w:eastAsia="zh-CN"/>
        </w:rPr>
        <w:t xml:space="preserve"> frequency offset between the start point of PO and the corresponding RO.</w:t>
      </w:r>
    </w:p>
    <w:p>
      <w:pPr>
        <w:pStyle w:val="38"/>
        <w:snapToGrid w:val="0"/>
        <w:spacing w:afterLines="50"/>
        <w:contextualSpacing w:val="0"/>
        <w:jc w:val="center"/>
        <w:rPr>
          <w:bCs/>
          <w:lang w:val="en-US" w:eastAsia="zh-CN"/>
        </w:rPr>
      </w:pPr>
      <w:r>
        <w:rPr>
          <w:lang w:val="en-US" w:eastAsia="zh-CN"/>
        </w:rPr>
        <w:drawing>
          <wp:inline distT="0" distB="0" distL="114300" distR="114300">
            <wp:extent cx="3691255" cy="1819910"/>
            <wp:effectExtent l="0" t="0" r="4445" b="889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5"/>
                    <a:stretch>
                      <a:fillRect/>
                    </a:stretch>
                  </pic:blipFill>
                  <pic:spPr>
                    <a:xfrm>
                      <a:off x="0" y="0"/>
                      <a:ext cx="3691255" cy="1819910"/>
                    </a:xfrm>
                    <a:prstGeom prst="rect">
                      <a:avLst/>
                    </a:prstGeom>
                    <a:noFill/>
                    <a:ln>
                      <a:noFill/>
                    </a:ln>
                  </pic:spPr>
                </pic:pic>
              </a:graphicData>
            </a:graphic>
          </wp:inline>
        </w:drawing>
      </w:r>
    </w:p>
    <w:p>
      <w:pPr>
        <w:pStyle w:val="38"/>
        <w:snapToGrid w:val="0"/>
        <w:spacing w:afterLines="50"/>
        <w:contextualSpacing w:val="0"/>
        <w:jc w:val="center"/>
        <w:rPr>
          <w:bCs/>
          <w:lang w:val="en-US" w:eastAsia="zh-CN"/>
        </w:rPr>
      </w:pPr>
      <w:r>
        <w:rPr>
          <w:bCs/>
          <w:lang w:val="en-US" w:eastAsia="zh-CN"/>
        </w:rPr>
        <w:t>Figure 1. The time-frequency resource of payload</w:t>
      </w:r>
    </w:p>
    <w:p>
      <w:pPr>
        <w:snapToGrid w:val="0"/>
        <w:spacing w:afterLines="50"/>
        <w:rPr>
          <w:rFonts w:eastAsiaTheme="minorEastAsia"/>
          <w:lang w:val="en-US" w:eastAsia="zh-CN"/>
        </w:rPr>
      </w:pPr>
    </w:p>
    <w:p>
      <w:pPr>
        <w:snapToGrid w:val="0"/>
        <w:spacing w:afterLines="50"/>
        <w:rPr>
          <w:rFonts w:eastAsiaTheme="minorEastAsia"/>
          <w:lang w:eastAsia="zh-CN"/>
        </w:rPr>
      </w:pPr>
      <w:r>
        <w:rPr>
          <w:rFonts w:eastAsiaTheme="minorEastAsia"/>
          <w:lang w:val="en-US" w:eastAsia="zh-CN"/>
        </w:rPr>
        <w:t>The time and frequency domain offsets</w:t>
      </w:r>
      <w:r>
        <w:rPr>
          <w:rFonts w:hint="eastAsia" w:eastAsiaTheme="minorEastAsia"/>
          <w:lang w:val="en-US" w:eastAsia="zh-CN"/>
        </w:rPr>
        <w:t xml:space="preserve">, i.e., </w:t>
      </w:r>
      <m:oMath>
        <m:r>
          <w:rPr>
            <w:rFonts w:ascii="Cambria Math" w:hAnsi="Cambria Math"/>
            <w:lang w:val="en-US" w:eastAsia="zh-CN"/>
          </w:rPr>
          <m:t>∆</m:t>
        </m:r>
        <m:r>
          <m:rPr>
            <m:sty m:val="p"/>
          </m:rPr>
          <w:rPr>
            <w:rFonts w:ascii="Cambria Math" w:hAnsi="Cambria Math"/>
            <w:lang w:val="en-US" w:eastAsia="zh-CN"/>
          </w:rPr>
          <m:t>T</m:t>
        </m:r>
      </m:oMath>
      <w:r>
        <w:rPr>
          <w:rFonts w:eastAsiaTheme="minorEastAsia"/>
          <w:lang w:val="en-US" w:eastAsia="zh-CN"/>
        </w:rPr>
        <w:t xml:space="preserve"> or </w:t>
      </w:r>
      <m:oMath>
        <m:r>
          <w:rPr>
            <w:rFonts w:ascii="Cambria Math" w:hAnsi="Cambria Math"/>
            <w:lang w:val="en-US" w:eastAsia="zh-CN"/>
          </w:rPr>
          <m:t>∆</m:t>
        </m:r>
        <m:r>
          <m:rPr>
            <m:sty m:val="p"/>
          </m:rPr>
          <w:rPr>
            <w:rFonts w:ascii="Cambria Math" w:hAnsi="Cambria Math"/>
            <w:lang w:val="en-US" w:eastAsia="zh-CN"/>
          </w:rPr>
          <m:t>F</m:t>
        </m:r>
      </m:oMath>
      <w:r>
        <w:rPr>
          <w:rFonts w:eastAsiaTheme="minorEastAsia"/>
          <w:lang w:val="en-US" w:eastAsia="zh-CN"/>
        </w:rPr>
        <w:t xml:space="preserve"> could be defined and broadcasted in the SIB message. The offset(s) could also be made preamble sequence dependent, e.g. if further grouping of PUSCH resources in each PO is applied as mentioned in Section 2.2. An additional term</w:t>
      </w:r>
      <w:r>
        <w:rPr>
          <w:rFonts w:hint="eastAsia" w:eastAsiaTheme="minorEastAsia"/>
          <w:lang w:val="en-US" w:eastAsia="zh-CN"/>
        </w:rPr>
        <w:t xml:space="preserve">, i.e., </w:t>
      </w:r>
      <m:oMath>
        <m:r>
          <m:rPr>
            <m:sty m:val="p"/>
          </m:rPr>
          <w:rPr>
            <w:rFonts w:ascii="Cambria Math" w:hAnsi="Cambria Math" w:eastAsiaTheme="minorEastAsia"/>
            <w:lang w:val="en-US" w:eastAsia="zh-CN"/>
          </w:rPr>
          <m:t>∆T</m:t>
        </m:r>
        <m:d>
          <m:dPr>
            <m:ctrlPr>
              <w:rPr>
                <w:rFonts w:ascii="Cambria Math" w:hAnsi="Cambria Math" w:eastAsiaTheme="minorEastAsia"/>
                <w:lang w:val="en-US" w:eastAsia="zh-CN"/>
              </w:rPr>
            </m:ctrlPr>
          </m:dPr>
          <m:e>
            <m:r>
              <m:rPr>
                <m:sty m:val="p"/>
              </m:rPr>
              <w:rPr>
                <w:rFonts w:ascii="Cambria Math" w:hAnsi="Cambria Math" w:eastAsiaTheme="minorEastAsia"/>
                <w:lang w:val="en-US" w:eastAsia="zh-CN"/>
              </w:rPr>
              <m:t>preamble_idx</m:t>
            </m:r>
            <m:ctrlPr>
              <w:rPr>
                <w:rFonts w:ascii="Cambria Math" w:hAnsi="Cambria Math" w:eastAsiaTheme="minorEastAsia"/>
                <w:lang w:val="en-US" w:eastAsia="zh-CN"/>
              </w:rPr>
            </m:ctrlPr>
          </m:e>
        </m:d>
        <m:r>
          <m:rPr>
            <m:sty m:val="p"/>
          </m:rPr>
          <w:rPr>
            <w:rFonts w:ascii="Cambria Math" w:hAnsi="Cambria Math" w:eastAsiaTheme="minorEastAsia"/>
            <w:lang w:val="en-US" w:eastAsia="zh-CN"/>
          </w:rPr>
          <m:t xml:space="preserve"> or ∆F(preamble_idx),</m:t>
        </m:r>
      </m:oMath>
      <w:r>
        <w:rPr>
          <w:rFonts w:eastAsiaTheme="minorEastAsia"/>
          <w:lang w:val="en-US" w:eastAsia="zh-CN"/>
        </w:rPr>
        <w:t xml:space="preserve"> could be added based on FDM/TDM of inter-UE multiplexing on the PUSCH resources.</w:t>
      </w:r>
    </w:p>
    <w:p>
      <w:pPr>
        <w:pStyle w:val="13"/>
        <w:numPr>
          <w:ilvl w:val="0"/>
          <w:numId w:val="8"/>
        </w:numPr>
        <w:snapToGrid w:val="0"/>
        <w:spacing w:afterLines="50"/>
        <w:rPr>
          <w:bCs/>
          <w:lang w:val="en-US" w:eastAsia="zh-CN"/>
        </w:rPr>
      </w:pPr>
      <w:r>
        <w:rPr>
          <w:bCs/>
          <w:lang w:val="en-US" w:eastAsia="zh-CN"/>
        </w:rPr>
        <w:t>Consideration on the time domain</w:t>
      </w:r>
      <w:r>
        <w:rPr>
          <w:rFonts w:hint="eastAsia" w:eastAsiaTheme="minorEastAsia"/>
          <w:bCs/>
          <w:lang w:val="en-US" w:eastAsia="zh-CN"/>
        </w:rPr>
        <w:t xml:space="preserve"> </w:t>
      </w:r>
      <w:r>
        <w:rPr>
          <w:rFonts w:eastAsiaTheme="minorEastAsia"/>
          <w:bCs/>
          <w:lang w:val="en-US" w:eastAsia="zh-CN"/>
        </w:rPr>
        <w:t>offset</w:t>
      </w:r>
    </w:p>
    <w:p>
      <w:pPr>
        <w:pStyle w:val="13"/>
        <w:snapToGrid w:val="0"/>
        <w:spacing w:afterLines="50"/>
        <w:rPr>
          <w:rFonts w:eastAsiaTheme="minorEastAsia"/>
          <w:lang w:val="en-US" w:eastAsia="zh-CN"/>
        </w:rPr>
      </w:pPr>
      <w:r>
        <w:rPr>
          <w:bCs/>
          <w:lang w:val="en-US" w:eastAsia="zh-CN"/>
        </w:rPr>
        <w:t xml:space="preserve">The configurable range of time domain offset should be carefully determined. For one thing, in order to reduce the latency of 2-step RACH, it is preferred to have preamble and payload transmitted back-to-back in msgA. However, in practical a gap should be reserved between preamble and payload, in order to facilitate the UE implementation, especially when the numerology or power of payload is different from that of preamble.  In addition, it has been agreed in Rel.15 that the PRACH and PUSCH of the same UE cannot be transmitted in the same slot. So, the configuration of the gap should also take into account this constraint. The time domain offset should be configurable also according to different slot format in case of TDD. Meanwhile, for the 2-step RACH application in NR-U, the gap between PRACH and PUSCH should be as short as enough in order to avoid the need of multiple LBT (since any gap larger than 16 µs will need additional LBT step).  </w:t>
      </w:r>
      <w:bookmarkStart w:id="1" w:name="_GoBack"/>
      <w:bookmarkEnd w:id="1"/>
    </w:p>
    <w:p>
      <w:pPr>
        <w:numPr>
          <w:ilvl w:val="0"/>
          <w:numId w:val="9"/>
        </w:numPr>
        <w:snapToGrid w:val="0"/>
        <w:spacing w:afterLines="50"/>
        <w:rPr>
          <w:rFonts w:eastAsiaTheme="minorEastAsia"/>
          <w:lang w:val="en-US" w:eastAsia="zh-CN"/>
        </w:rPr>
      </w:pPr>
      <w:r>
        <w:rPr>
          <w:bCs/>
          <w:lang w:val="en-US" w:eastAsia="zh-CN"/>
        </w:rPr>
        <w:t>Consideration on the</w:t>
      </w:r>
      <w:r>
        <w:rPr>
          <w:rFonts w:eastAsiaTheme="minorEastAsia"/>
          <w:lang w:val="en-US" w:eastAsia="zh-CN"/>
        </w:rPr>
        <w:t xml:space="preserve"> frequency domain offset and the bandwidth</w:t>
      </w:r>
      <w:r>
        <w:rPr>
          <w:rFonts w:hint="eastAsia" w:eastAsiaTheme="minorEastAsia"/>
          <w:lang w:val="en-US" w:eastAsia="zh-CN"/>
        </w:rPr>
        <w:t xml:space="preserve"> of the payload</w:t>
      </w:r>
    </w:p>
    <w:p>
      <w:pPr>
        <w:numPr>
          <w:ilvl w:val="255"/>
          <w:numId w:val="0"/>
        </w:numPr>
        <w:snapToGrid w:val="0"/>
        <w:spacing w:afterLines="50"/>
        <w:rPr>
          <w:rFonts w:eastAsiaTheme="minorEastAsia"/>
          <w:bCs/>
          <w:lang w:val="en-US" w:eastAsia="zh-CN"/>
        </w:rPr>
      </w:pPr>
      <w:r>
        <w:rPr>
          <w:rFonts w:eastAsiaTheme="minorEastAsia"/>
          <w:bCs/>
          <w:lang w:val="en-US" w:eastAsia="zh-CN"/>
        </w:rPr>
        <w:t xml:space="preserve">It would be preferable to make the frequency domain offset configurable. </w:t>
      </w:r>
    </w:p>
    <w:p>
      <w:pPr>
        <w:numPr>
          <w:ilvl w:val="255"/>
          <w:numId w:val="0"/>
        </w:numPr>
        <w:snapToGrid w:val="0"/>
        <w:spacing w:afterLines="50"/>
        <w:rPr>
          <w:rFonts w:eastAsiaTheme="minorEastAsia"/>
          <w:lang w:val="en-US" w:eastAsia="zh-CN"/>
        </w:rPr>
      </w:pPr>
      <w:r>
        <w:rPr>
          <w:rFonts w:hint="eastAsia" w:eastAsiaTheme="minorEastAsia"/>
          <w:bCs/>
          <w:lang w:val="en-US" w:eastAsia="zh-CN"/>
        </w:rPr>
        <w:t xml:space="preserve">Since the preamble can be also regarded as a kind of reference signal, </w:t>
      </w:r>
      <w:r>
        <w:rPr>
          <w:rFonts w:eastAsiaTheme="minorEastAsia"/>
          <w:bCs/>
          <w:lang w:val="en-US" w:eastAsia="zh-CN"/>
        </w:rPr>
        <w:t xml:space="preserve">from the performance wise </w:t>
      </w:r>
      <w:r>
        <w:rPr>
          <w:rFonts w:eastAsiaTheme="minorEastAsia"/>
          <w:lang w:val="en-US" w:eastAsia="zh-CN"/>
        </w:rPr>
        <w:t>it would be beneficial to allocate the same frequency resources to both preamble and payload, so as to enhance the channel estimation based on both the preamble and DMRS in payload. This would be beneficial especially when the collision probability of DMRS is non-negligible due to the limited number of DMRS ports.</w:t>
      </w:r>
    </w:p>
    <w:p>
      <w:pPr>
        <w:numPr>
          <w:ilvl w:val="255"/>
          <w:numId w:val="0"/>
        </w:numPr>
        <w:snapToGrid w:val="0"/>
        <w:spacing w:afterLines="50"/>
        <w:rPr>
          <w:rFonts w:eastAsiaTheme="minorEastAsia"/>
          <w:lang w:val="en-US" w:eastAsia="zh-CN"/>
        </w:rPr>
      </w:pPr>
      <w:r>
        <w:rPr>
          <w:rFonts w:eastAsiaTheme="minorEastAsia"/>
          <w:lang w:val="en-US" w:eastAsia="zh-CN"/>
        </w:rPr>
        <w:t xml:space="preserve">However, there could be some restriction since all the PRACH configurations defined in 4-step RACH are intended to be supported in 2-step RACH. For example, for the PRACH configuration index 27 for FR1 and paired spectrum, all the slots within a subframe are reserved for the preamble transmission, there is no way to allocate the payload and preamble as TDMed in the same frequency band. </w:t>
      </w:r>
    </w:p>
    <w:p>
      <w:pPr>
        <w:snapToGrid w:val="0"/>
        <w:spacing w:afterLines="50"/>
        <w:rPr>
          <w:rFonts w:eastAsiaTheme="minorEastAsia"/>
          <w:b/>
          <w:bCs/>
          <w:i/>
          <w:iCs/>
          <w:lang w:val="en-US" w:eastAsia="zh-CN"/>
        </w:rPr>
      </w:pPr>
      <w:r>
        <w:rPr>
          <w:rFonts w:eastAsiaTheme="minorEastAsia"/>
          <w:b/>
          <w:bCs/>
          <w:i/>
          <w:iCs/>
          <w:lang w:val="en-US" w:eastAsia="zh-CN"/>
        </w:rPr>
        <w:t>Proposal 1: The association of the time-frequency resources between preamble and payload should be defined.</w:t>
      </w:r>
    </w:p>
    <w:p>
      <w:pPr>
        <w:pStyle w:val="117"/>
        <w:numPr>
          <w:ilvl w:val="0"/>
          <w:numId w:val="10"/>
        </w:numPr>
        <w:snapToGrid w:val="0"/>
        <w:spacing w:afterLines="50"/>
        <w:rPr>
          <w:rFonts w:eastAsiaTheme="minorEastAsia"/>
          <w:b/>
          <w:bCs/>
          <w:i/>
          <w:iCs/>
          <w:lang w:val="en-US" w:eastAsia="zh-CN"/>
        </w:rPr>
      </w:pPr>
      <w:r>
        <w:rPr>
          <w:rFonts w:eastAsiaTheme="minorEastAsia"/>
          <w:b/>
          <w:bCs/>
          <w:i/>
          <w:iCs/>
          <w:lang w:val="en-US" w:eastAsia="zh-CN"/>
        </w:rPr>
        <w:t>Configurable time/frequency domain offset between each RO and PO should be supported.</w:t>
      </w:r>
    </w:p>
    <w:p>
      <w:pPr>
        <w:pStyle w:val="117"/>
        <w:numPr>
          <w:ilvl w:val="0"/>
          <w:numId w:val="10"/>
        </w:numPr>
        <w:snapToGrid w:val="0"/>
        <w:spacing w:afterLines="50"/>
        <w:rPr>
          <w:rFonts w:eastAsiaTheme="minorEastAsia"/>
          <w:b/>
          <w:bCs/>
          <w:i/>
          <w:iCs/>
          <w:lang w:val="en-US" w:eastAsia="zh-CN"/>
        </w:rPr>
      </w:pPr>
      <w:r>
        <w:rPr>
          <w:rFonts w:eastAsiaTheme="minorEastAsia"/>
          <w:b/>
          <w:bCs/>
          <w:i/>
          <w:iCs/>
          <w:lang w:val="en-US" w:eastAsia="zh-CN"/>
        </w:rPr>
        <w:t>The determination of the offset value(s) should take into account the UE capability, flexibility, latency, etc.</w:t>
      </w:r>
    </w:p>
    <w:p>
      <w:pPr>
        <w:snapToGrid w:val="0"/>
        <w:spacing w:afterLines="50"/>
        <w:rPr>
          <w:rFonts w:eastAsiaTheme="minorEastAsia"/>
          <w:lang w:val="en-US" w:eastAsia="zh-CN"/>
        </w:rPr>
      </w:pPr>
    </w:p>
    <w:p>
      <w:pPr>
        <w:pStyle w:val="3"/>
        <w:snapToGrid w:val="0"/>
        <w:spacing w:before="0" w:after="180" w:afterLines="50"/>
      </w:pPr>
      <w:r>
        <w:t>Resource mapping in one PUSCH occasion</w:t>
      </w:r>
    </w:p>
    <w:p>
      <w:pPr>
        <w:snapToGrid w:val="0"/>
        <w:spacing w:afterLines="50"/>
        <w:rPr>
          <w:rFonts w:eastAsiaTheme="minorEastAsia"/>
          <w:lang w:val="en-US" w:eastAsia="zh-CN"/>
        </w:rPr>
      </w:pPr>
      <w:r>
        <w:rPr>
          <w:rFonts w:eastAsiaTheme="minorEastAsia"/>
          <w:lang w:val="en-US" w:eastAsia="zh-CN"/>
        </w:rPr>
        <w:t>In</w:t>
      </w:r>
      <w:r>
        <w:rPr>
          <w:rFonts w:hint="eastAsia" w:eastAsiaTheme="minorEastAsia"/>
          <w:lang w:val="en-US" w:eastAsia="zh-CN"/>
        </w:rPr>
        <w:t xml:space="preserve"> 4-step RACH where the resource of msg3</w:t>
      </w:r>
      <w:r>
        <w:rPr>
          <w:rFonts w:eastAsiaTheme="minorEastAsia"/>
          <w:lang w:val="en-US" w:eastAsia="zh-CN"/>
        </w:rPr>
        <w:t xml:space="preserve"> </w:t>
      </w:r>
      <w:r>
        <w:rPr>
          <w:rFonts w:hint="eastAsia" w:eastAsiaTheme="minorEastAsia"/>
          <w:lang w:val="en-US" w:eastAsia="zh-CN"/>
        </w:rPr>
        <w:t>is allocated by gNB</w:t>
      </w:r>
      <w:r>
        <w:rPr>
          <w:rFonts w:eastAsiaTheme="minorEastAsia"/>
          <w:lang w:val="en-US" w:eastAsia="zh-CN"/>
        </w:rPr>
        <w:t>, it is likely that multiple UEs transmitting in the same RO will be assigned with orthogonal time-frequency resources</w:t>
      </w:r>
      <w:r>
        <w:rPr>
          <w:rFonts w:hint="eastAsia" w:eastAsiaTheme="minorEastAsia"/>
          <w:lang w:val="en-US" w:eastAsia="zh-CN"/>
        </w:rPr>
        <w:t>.</w:t>
      </w:r>
      <w:r>
        <w:rPr>
          <w:rFonts w:eastAsiaTheme="minorEastAsia"/>
          <w:lang w:val="en-US" w:eastAsia="zh-CN"/>
        </w:rPr>
        <w:t xml:space="preserve"> While for contention-based 2-step RACH, the PUSCH resources of payload in msgA are preconfigured, and multiple UEs transmitted in the same RO will share the PUSCH resources. It would be beneficial to minimize the interferences (especially the DMRS collision) among the UEs selected different preamble sequences. Therefore, the PUSCH resources in an occasion can be further split into multiple groups and each group is mapped to a set of preamble sequences, as depicted in Figure 2(a). Furthermore the preamble index within each group can be mapped to a DMRS port, as illustrated in Figure 2(b).</w:t>
      </w:r>
    </w:p>
    <w:p>
      <w:pPr>
        <w:snapToGrid w:val="0"/>
        <w:spacing w:afterLines="50"/>
        <w:rPr>
          <w:rFonts w:eastAsiaTheme="minorEastAsia"/>
          <w:lang w:val="en-US" w:eastAsia="zh-CN"/>
        </w:rPr>
      </w:pPr>
      <w:r>
        <w:rPr>
          <w:rFonts w:eastAsiaTheme="minorEastAsia"/>
          <w:lang w:val="en-US" w:eastAsia="zh-CN"/>
        </w:rPr>
        <w:t>The number of groups will impact the interference level, which can be made configurable based on the payload size, traffic load, and receiver capability. And the number of PRBs in a group can be determined by the payload size and supported MCS.</w:t>
      </w:r>
    </w:p>
    <w:p>
      <w:pPr>
        <w:jc w:val="center"/>
        <w:rPr>
          <w:rFonts w:eastAsiaTheme="minorEastAsia"/>
          <w:lang w:val="en-US" w:eastAsia="zh-CN"/>
        </w:rPr>
      </w:pPr>
      <w:r>
        <w:rPr>
          <w:lang w:val="en-US" w:eastAsia="zh-CN"/>
        </w:rPr>
        <w:drawing>
          <wp:inline distT="0" distB="0" distL="0" distR="0">
            <wp:extent cx="1733550" cy="1807845"/>
            <wp:effectExtent l="0" t="0" r="0" b="190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747190" cy="1822096"/>
                    </a:xfrm>
                    <a:prstGeom prst="rect">
                      <a:avLst/>
                    </a:prstGeom>
                    <a:noFill/>
                  </pic:spPr>
                </pic:pic>
              </a:graphicData>
            </a:graphic>
          </wp:inline>
        </w:drawing>
      </w:r>
      <w:r>
        <w:rPr>
          <w:rFonts w:eastAsia="宋体"/>
          <w:lang w:val="en-US" w:eastAsia="zh-CN"/>
        </w:rPr>
        <w:t xml:space="preserve">                                </w:t>
      </w:r>
      <w:r>
        <w:rPr>
          <w:rFonts w:eastAsiaTheme="minorEastAsia"/>
          <w:lang w:val="en-US" w:eastAsia="zh-CN"/>
        </w:rPr>
        <w:drawing>
          <wp:inline distT="0" distB="0" distL="0" distR="0">
            <wp:extent cx="1810385" cy="859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810385" cy="859790"/>
                    </a:xfrm>
                    <a:prstGeom prst="rect">
                      <a:avLst/>
                    </a:prstGeom>
                    <a:noFill/>
                  </pic:spPr>
                </pic:pic>
              </a:graphicData>
            </a:graphic>
          </wp:inline>
        </w:drawing>
      </w:r>
    </w:p>
    <w:p>
      <w:pPr>
        <w:pStyle w:val="38"/>
        <w:snapToGrid w:val="0"/>
        <w:spacing w:afterLines="50"/>
        <w:ind w:left="0"/>
        <w:contextualSpacing w:val="0"/>
        <w:jc w:val="center"/>
        <w:rPr>
          <w:lang w:val="en-US" w:eastAsia="zh-CN"/>
        </w:rPr>
      </w:pPr>
      <w:r>
        <w:rPr>
          <w:rFonts w:eastAsiaTheme="minorEastAsia"/>
          <w:lang w:val="en-US" w:eastAsia="zh-CN"/>
        </w:rPr>
        <w:t>(a) mapping between preamble and physical resource         (b) mapping between preamble and DMRS</w:t>
      </w:r>
    </w:p>
    <w:p>
      <w:pPr>
        <w:pStyle w:val="38"/>
        <w:snapToGrid w:val="0"/>
        <w:spacing w:afterLines="50"/>
        <w:ind w:left="0"/>
        <w:contextualSpacing w:val="0"/>
        <w:jc w:val="center"/>
        <w:rPr>
          <w:bCs/>
          <w:lang w:val="en-US" w:eastAsia="zh-CN"/>
        </w:rPr>
      </w:pPr>
      <w:r>
        <w:rPr>
          <w:bCs/>
          <w:lang w:val="en-US" w:eastAsia="zh-CN"/>
        </w:rPr>
        <w:t xml:space="preserve">Figure 2.  </w:t>
      </w:r>
      <w:r>
        <w:t>Resource mapping in a payload occasion</w:t>
      </w:r>
    </w:p>
    <w:p>
      <w:pPr>
        <w:snapToGrid w:val="0"/>
        <w:spacing w:afterLines="50"/>
        <w:rPr>
          <w:rFonts w:eastAsiaTheme="minorEastAsia"/>
          <w:b/>
          <w:i/>
          <w:lang w:val="en-US" w:eastAsia="zh-CN"/>
        </w:rPr>
      </w:pPr>
      <w:r>
        <w:rPr>
          <w:b/>
          <w:i/>
          <w:lang w:val="en-US" w:eastAsia="zh-CN"/>
        </w:rPr>
        <w:t>Proposal</w:t>
      </w:r>
      <w:r>
        <w:rPr>
          <w:rFonts w:hint="eastAsia"/>
          <w:b/>
          <w:i/>
          <w:lang w:val="en-US" w:eastAsia="zh-CN"/>
        </w:rPr>
        <w:t xml:space="preserve"> </w:t>
      </w:r>
      <w:r>
        <w:rPr>
          <w:b/>
          <w:i/>
          <w:lang w:val="en-US" w:eastAsia="zh-CN"/>
        </w:rPr>
        <w:t xml:space="preserve">2: Multiple groups of </w:t>
      </w:r>
      <w:r>
        <w:rPr>
          <w:rFonts w:eastAsiaTheme="minorEastAsia"/>
          <w:b/>
          <w:i/>
          <w:lang w:val="en-US" w:eastAsia="zh-CN"/>
        </w:rPr>
        <w:t>PUSCH resource in one occasion can be supported.</w:t>
      </w:r>
    </w:p>
    <w:p>
      <w:pPr>
        <w:pStyle w:val="117"/>
        <w:numPr>
          <w:ilvl w:val="0"/>
          <w:numId w:val="11"/>
        </w:numPr>
        <w:snapToGrid w:val="0"/>
        <w:spacing w:afterLines="50"/>
        <w:rPr>
          <w:rFonts w:eastAsiaTheme="minorEastAsia"/>
          <w:b/>
          <w:i/>
          <w:lang w:val="en-US" w:eastAsia="zh-CN"/>
        </w:rPr>
      </w:pPr>
      <w:r>
        <w:rPr>
          <w:rFonts w:eastAsiaTheme="minorEastAsia"/>
          <w:b/>
          <w:i/>
          <w:lang w:val="en-US" w:eastAsia="zh-CN"/>
        </w:rPr>
        <w:t>Mapping rule between preamble (group) and resource (group) should be defined.</w:t>
      </w:r>
    </w:p>
    <w:p>
      <w:pPr>
        <w:pStyle w:val="117"/>
        <w:numPr>
          <w:ilvl w:val="0"/>
          <w:numId w:val="11"/>
        </w:numPr>
        <w:snapToGrid w:val="0"/>
        <w:spacing w:afterLines="50"/>
        <w:rPr>
          <w:rFonts w:eastAsiaTheme="minorEastAsia"/>
          <w:b/>
          <w:i/>
          <w:lang w:val="en-US" w:eastAsia="zh-CN"/>
        </w:rPr>
      </w:pPr>
      <w:r>
        <w:rPr>
          <w:rFonts w:eastAsiaTheme="minorEastAsia"/>
          <w:b/>
          <w:i/>
          <w:lang w:val="en-US" w:eastAsia="zh-CN"/>
        </w:rPr>
        <w:t>Mapping rule between preamble index within each group and DMRS port should be defined.</w:t>
      </w:r>
    </w:p>
    <w:p>
      <w:pPr>
        <w:pStyle w:val="38"/>
        <w:snapToGrid w:val="0"/>
        <w:spacing w:afterLines="50"/>
        <w:ind w:left="0"/>
        <w:contextualSpacing w:val="0"/>
        <w:rPr>
          <w:bCs/>
          <w:lang w:val="en-US" w:eastAsia="zh-CN"/>
        </w:rPr>
      </w:pPr>
    </w:p>
    <w:p>
      <w:pPr>
        <w:pStyle w:val="3"/>
        <w:snapToGrid w:val="0"/>
        <w:spacing w:before="0" w:after="180" w:afterLines="50"/>
        <w:rPr>
          <w:rFonts w:eastAsiaTheme="minorEastAsia"/>
        </w:rPr>
      </w:pPr>
      <w:r>
        <w:t>Payload size and supported MCS</w:t>
      </w:r>
    </w:p>
    <w:p>
      <w:pPr>
        <w:pStyle w:val="38"/>
        <w:snapToGrid w:val="0"/>
        <w:spacing w:afterLines="50"/>
        <w:ind w:left="0"/>
        <w:contextualSpacing w:val="0"/>
        <w:rPr>
          <w:lang w:val="en-US" w:eastAsia="zh-CN"/>
        </w:rPr>
      </w:pPr>
      <w:r>
        <w:rPr>
          <w:lang w:val="en-US" w:eastAsia="zh-CN"/>
        </w:rPr>
        <w:t xml:space="preserve">The payload in msgA for 2-step RACH should include the content of msg3 in 4-step RACH. Currently in Rel.15, there are two TB sizes (56 and 72 bits) defined for msg3 carrying the CCCH message. For the msgA transmission in 2-step RACH, it is up to RAN2 decision whether more contents besides CCCH message to be carried in the payload. Before that we can leave the configuration of payload size and MCS more flexible, and assume the same TBS=56 or 72 bits as the starting point for the analysis of number of PRBs and MCS level required for msgA transmission. </w:t>
      </w:r>
    </w:p>
    <w:p>
      <w:pPr>
        <w:pStyle w:val="38"/>
        <w:snapToGrid w:val="0"/>
        <w:spacing w:afterLines="50"/>
        <w:ind w:left="0"/>
        <w:contextualSpacing w:val="0"/>
        <w:rPr>
          <w:rFonts w:hint="eastAsia" w:eastAsiaTheme="minorEastAsia"/>
          <w:bCs/>
          <w:lang w:val="en-US" w:eastAsia="zh-CN"/>
        </w:rPr>
      </w:pPr>
      <w:r>
        <w:rPr>
          <w:rFonts w:hint="eastAsia" w:eastAsiaTheme="minorEastAsia"/>
          <w:bCs/>
          <w:lang w:val="en-US" w:eastAsia="zh-CN"/>
        </w:rPr>
        <w:t xml:space="preserve">The </w:t>
      </w:r>
      <w:r>
        <w:rPr>
          <w:rFonts w:eastAsiaTheme="minorEastAsia"/>
          <w:bCs/>
          <w:lang w:val="en-US" w:eastAsia="zh-CN"/>
        </w:rPr>
        <w:t>supported</w:t>
      </w:r>
      <w:r>
        <w:rPr>
          <w:rFonts w:hint="eastAsia" w:eastAsiaTheme="minorEastAsia"/>
          <w:bCs/>
          <w:lang w:val="en-US" w:eastAsia="zh-CN"/>
        </w:rPr>
        <w:t xml:space="preserve"> TBS </w:t>
      </w:r>
      <w:r>
        <w:rPr>
          <w:rFonts w:eastAsiaTheme="minorEastAsia"/>
          <w:bCs/>
          <w:lang w:val="en-US" w:eastAsia="zh-CN"/>
        </w:rPr>
        <w:t>can be calculated based on the available</w:t>
      </w:r>
      <w:r>
        <w:rPr>
          <w:rFonts w:hint="eastAsia" w:eastAsiaTheme="minorEastAsia"/>
          <w:bCs/>
          <w:lang w:val="en-US" w:eastAsia="zh-CN"/>
        </w:rPr>
        <w:t xml:space="preserve"> </w:t>
      </w:r>
      <w:r>
        <w:rPr>
          <w:rFonts w:eastAsiaTheme="minorEastAsia"/>
          <w:bCs/>
          <w:lang w:val="en-US" w:eastAsia="zh-CN"/>
        </w:rPr>
        <w:t>PRB number (assuming one slot) and MCS level, as presented in Table 1. It can be found that 56 bits can be supported by using 2 PRBs for MCS level &lt; 2, and for MCS level &gt; 2, 1 PRB is enough for carrying the payload size.</w:t>
      </w:r>
    </w:p>
    <w:p>
      <w:pPr>
        <w:pStyle w:val="38"/>
        <w:snapToGrid w:val="0"/>
        <w:spacing w:afterLines="50"/>
        <w:ind w:left="0"/>
        <w:contextualSpacing w:val="0"/>
        <w:rPr>
          <w:bCs/>
          <w:lang w:val="en-US" w:eastAsia="zh-CN"/>
        </w:rPr>
      </w:pPr>
      <w:r>
        <w:rPr>
          <w:bCs/>
          <w:lang w:val="en-US" w:eastAsia="zh-CN"/>
        </w:rPr>
        <w:t>Larger payload size can be supported by allocating more resources or by increasing the MCS levels. Once the content is determined, further down-selection of the configurations can be considered.</w:t>
      </w:r>
    </w:p>
    <w:p>
      <w:pPr>
        <w:jc w:val="center"/>
      </w:pPr>
      <w:r>
        <w:t>Table 1. TBS for different combinations of PRB number and MCS level</w:t>
      </w:r>
    </w:p>
    <w:tbl>
      <w:tblPr>
        <w:tblStyle w:val="31"/>
        <w:tblW w:w="88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628"/>
        <w:gridCol w:w="1628"/>
        <w:gridCol w:w="1629"/>
        <w:gridCol w:w="1629"/>
        <w:gridCol w:w="1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tcPr>
          <w:p>
            <w:pPr>
              <w:jc w:val="center"/>
            </w:pPr>
            <w:r>
              <w:rPr>
                <w:rFonts w:hint="eastAsia" w:eastAsia="Malgun Gothic"/>
              </w:rPr>
              <w:t>PRB</w:t>
            </w:r>
          </w:p>
        </w:tc>
        <w:tc>
          <w:tcPr>
            <w:tcW w:w="1628" w:type="dxa"/>
          </w:tcPr>
          <w:p>
            <w:r>
              <w:rPr>
                <w:rFonts w:eastAsia="Malgun Gothic"/>
              </w:rPr>
              <w:t xml:space="preserve">TBS for </w:t>
            </w:r>
            <w:r>
              <w:rPr>
                <w:rFonts w:hint="eastAsia" w:eastAsia="Malgun Gothic"/>
              </w:rPr>
              <w:t>MCS0</w:t>
            </w:r>
          </w:p>
        </w:tc>
        <w:tc>
          <w:tcPr>
            <w:tcW w:w="1628" w:type="dxa"/>
          </w:tcPr>
          <w:p>
            <w:r>
              <w:rPr>
                <w:rFonts w:eastAsia="Malgun Gothic"/>
              </w:rPr>
              <w:t>TBS</w:t>
            </w:r>
            <w:r>
              <w:rPr>
                <w:rFonts w:hint="eastAsia" w:eastAsia="Malgun Gothic"/>
              </w:rPr>
              <w:t xml:space="preserve"> </w:t>
            </w:r>
            <w:r>
              <w:rPr>
                <w:rFonts w:eastAsia="Malgun Gothic"/>
              </w:rPr>
              <w:t xml:space="preserve">for </w:t>
            </w:r>
            <w:r>
              <w:rPr>
                <w:rFonts w:hint="eastAsia" w:eastAsia="Malgun Gothic"/>
              </w:rPr>
              <w:t>MCS1</w:t>
            </w:r>
          </w:p>
        </w:tc>
        <w:tc>
          <w:tcPr>
            <w:tcW w:w="1629" w:type="dxa"/>
          </w:tcPr>
          <w:p>
            <w:r>
              <w:rPr>
                <w:rFonts w:eastAsia="Malgun Gothic"/>
              </w:rPr>
              <w:t>TBS</w:t>
            </w:r>
            <w:r>
              <w:rPr>
                <w:rFonts w:hint="eastAsia" w:eastAsia="Malgun Gothic"/>
              </w:rPr>
              <w:t xml:space="preserve"> </w:t>
            </w:r>
            <w:r>
              <w:rPr>
                <w:rFonts w:eastAsia="Malgun Gothic"/>
              </w:rPr>
              <w:t xml:space="preserve">for </w:t>
            </w:r>
            <w:r>
              <w:rPr>
                <w:rFonts w:hint="eastAsia" w:eastAsia="Malgun Gothic"/>
              </w:rPr>
              <w:t>MCS2</w:t>
            </w:r>
          </w:p>
        </w:tc>
        <w:tc>
          <w:tcPr>
            <w:tcW w:w="1629" w:type="dxa"/>
          </w:tcPr>
          <w:p>
            <w:r>
              <w:rPr>
                <w:rFonts w:eastAsia="Malgun Gothic"/>
              </w:rPr>
              <w:t>TBS</w:t>
            </w:r>
            <w:r>
              <w:rPr>
                <w:rFonts w:hint="eastAsia" w:eastAsia="Malgun Gothic"/>
              </w:rPr>
              <w:t xml:space="preserve"> </w:t>
            </w:r>
            <w:r>
              <w:rPr>
                <w:rFonts w:eastAsia="Malgun Gothic"/>
              </w:rPr>
              <w:t xml:space="preserve">for </w:t>
            </w:r>
            <w:r>
              <w:rPr>
                <w:rFonts w:hint="eastAsia" w:eastAsia="Malgun Gothic"/>
              </w:rPr>
              <w:t>MCS3</w:t>
            </w:r>
          </w:p>
        </w:tc>
        <w:tc>
          <w:tcPr>
            <w:tcW w:w="1629" w:type="dxa"/>
          </w:tcPr>
          <w:p>
            <w:r>
              <w:rPr>
                <w:rFonts w:eastAsia="Malgun Gothic"/>
              </w:rPr>
              <w:t>TBS</w:t>
            </w:r>
            <w:r>
              <w:rPr>
                <w:rFonts w:hint="eastAsia" w:eastAsia="Malgun Gothic"/>
              </w:rPr>
              <w:t xml:space="preserve"> </w:t>
            </w:r>
            <w:r>
              <w:rPr>
                <w:rFonts w:eastAsia="Malgun Gothic"/>
              </w:rPr>
              <w:t xml:space="preserve">for </w:t>
            </w:r>
            <w:r>
              <w:rPr>
                <w:rFonts w:hint="eastAsia" w:eastAsia="Malgun Gothic"/>
              </w:rPr>
              <w:t>MCS4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tcPr>
          <w:p>
            <w:r>
              <w:rPr>
                <w:rFonts w:hint="eastAsia" w:eastAsia="Malgun Gothic"/>
              </w:rPr>
              <w:t>1</w:t>
            </w:r>
          </w:p>
        </w:tc>
        <w:tc>
          <w:tcPr>
            <w:tcW w:w="1628" w:type="dxa"/>
          </w:tcPr>
          <w:p>
            <w:r>
              <w:rPr>
                <w:rFonts w:hint="eastAsia" w:eastAsia="Malgun Gothic"/>
              </w:rPr>
              <w:t>32</w:t>
            </w:r>
          </w:p>
        </w:tc>
        <w:tc>
          <w:tcPr>
            <w:tcW w:w="1628" w:type="dxa"/>
          </w:tcPr>
          <w:p>
            <w:pPr>
              <w:rPr>
                <w:rFonts w:eastAsia="宋体"/>
              </w:rPr>
            </w:pPr>
            <w:r>
              <w:rPr>
                <w:rFonts w:hint="eastAsia" w:eastAsia="宋体"/>
              </w:rPr>
              <w:t>40</w:t>
            </w:r>
          </w:p>
        </w:tc>
        <w:tc>
          <w:tcPr>
            <w:tcW w:w="1629" w:type="dxa"/>
          </w:tcPr>
          <w:p>
            <w:pPr>
              <w:rPr>
                <w:rFonts w:eastAsia="宋体"/>
              </w:rPr>
            </w:pPr>
            <w:r>
              <w:rPr>
                <w:rFonts w:hint="eastAsia" w:eastAsia="宋体"/>
              </w:rPr>
              <w:t>48</w:t>
            </w:r>
          </w:p>
        </w:tc>
        <w:tc>
          <w:tcPr>
            <w:tcW w:w="1629" w:type="dxa"/>
          </w:tcPr>
          <w:p>
            <w:pPr>
              <w:rPr>
                <w:rFonts w:eastAsia="宋体"/>
              </w:rPr>
            </w:pPr>
            <w:r>
              <w:rPr>
                <w:rFonts w:eastAsia="宋体"/>
              </w:rPr>
              <w:t>64</w:t>
            </w:r>
          </w:p>
        </w:tc>
        <w:tc>
          <w:tcPr>
            <w:tcW w:w="1629" w:type="dxa"/>
          </w:tcPr>
          <w:p>
            <w:pPr>
              <w:rPr>
                <w:rFonts w:eastAsia="宋体"/>
              </w:rPr>
            </w:pPr>
            <w:r>
              <w:rPr>
                <w:rFonts w:eastAsia="宋体"/>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tcPr>
          <w:p>
            <w:r>
              <w:rPr>
                <w:rFonts w:hint="eastAsia" w:eastAsia="Malgun Gothic"/>
              </w:rPr>
              <w:t>2</w:t>
            </w:r>
          </w:p>
        </w:tc>
        <w:tc>
          <w:tcPr>
            <w:tcW w:w="1628" w:type="dxa"/>
          </w:tcPr>
          <w:p>
            <w:pPr>
              <w:rPr>
                <w:rFonts w:eastAsia="宋体"/>
              </w:rPr>
            </w:pPr>
            <w:r>
              <w:rPr>
                <w:rFonts w:eastAsia="宋体"/>
              </w:rPr>
              <w:t>64</w:t>
            </w:r>
          </w:p>
        </w:tc>
        <w:tc>
          <w:tcPr>
            <w:tcW w:w="1628" w:type="dxa"/>
          </w:tcPr>
          <w:p>
            <w:pPr>
              <w:rPr>
                <w:rFonts w:eastAsia="宋体"/>
              </w:rPr>
            </w:pPr>
            <w:r>
              <w:rPr>
                <w:rFonts w:hint="eastAsia" w:eastAsia="宋体"/>
              </w:rPr>
              <w:t>88</w:t>
            </w:r>
          </w:p>
        </w:tc>
        <w:tc>
          <w:tcPr>
            <w:tcW w:w="1629" w:type="dxa"/>
          </w:tcPr>
          <w:p>
            <w:pPr>
              <w:rPr>
                <w:rFonts w:eastAsia="宋体"/>
              </w:rPr>
            </w:pPr>
            <w:r>
              <w:rPr>
                <w:rFonts w:hint="eastAsia" w:eastAsia="宋体"/>
              </w:rPr>
              <w:t>104</w:t>
            </w:r>
          </w:p>
        </w:tc>
        <w:tc>
          <w:tcPr>
            <w:tcW w:w="1629" w:type="dxa"/>
          </w:tcPr>
          <w:p>
            <w:pPr>
              <w:rPr>
                <w:rFonts w:eastAsia="宋体"/>
              </w:rPr>
            </w:pPr>
            <w:r>
              <w:rPr>
                <w:rFonts w:hint="eastAsia" w:eastAsia="宋体"/>
              </w:rPr>
              <w:t>136</w:t>
            </w:r>
          </w:p>
        </w:tc>
        <w:tc>
          <w:tcPr>
            <w:tcW w:w="1629" w:type="dxa"/>
          </w:tcPr>
          <w:p>
            <w:pPr>
              <w:rPr>
                <w:rFonts w:eastAsia="宋体"/>
              </w:rPr>
            </w:pPr>
            <w:r>
              <w:rPr>
                <w:rFonts w:hint="eastAsia" w:eastAsia="宋体"/>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tcPr>
          <w:p>
            <w:r>
              <w:rPr>
                <w:rFonts w:hint="eastAsia" w:eastAsia="Malgun Gothic"/>
              </w:rPr>
              <w:t>3</w:t>
            </w:r>
          </w:p>
        </w:tc>
        <w:tc>
          <w:tcPr>
            <w:tcW w:w="1628" w:type="dxa"/>
          </w:tcPr>
          <w:p>
            <w:pPr>
              <w:rPr>
                <w:rFonts w:eastAsia="宋体"/>
              </w:rPr>
            </w:pPr>
            <w:r>
              <w:rPr>
                <w:rFonts w:hint="eastAsia" w:eastAsia="宋体"/>
              </w:rPr>
              <w:t>96</w:t>
            </w:r>
          </w:p>
        </w:tc>
        <w:tc>
          <w:tcPr>
            <w:tcW w:w="1628" w:type="dxa"/>
          </w:tcPr>
          <w:p>
            <w:pPr>
              <w:rPr>
                <w:rFonts w:eastAsia="宋体"/>
              </w:rPr>
            </w:pPr>
            <w:r>
              <w:rPr>
                <w:rFonts w:hint="eastAsia" w:eastAsia="宋体"/>
              </w:rPr>
              <w:t>128</w:t>
            </w:r>
          </w:p>
        </w:tc>
        <w:tc>
          <w:tcPr>
            <w:tcW w:w="1629" w:type="dxa"/>
          </w:tcPr>
          <w:p>
            <w:pPr>
              <w:rPr>
                <w:rFonts w:eastAsia="宋体"/>
              </w:rPr>
            </w:pPr>
            <w:r>
              <w:rPr>
                <w:rFonts w:hint="eastAsia" w:eastAsia="宋体"/>
              </w:rPr>
              <w:t>160</w:t>
            </w:r>
          </w:p>
        </w:tc>
        <w:tc>
          <w:tcPr>
            <w:tcW w:w="1629" w:type="dxa"/>
          </w:tcPr>
          <w:p>
            <w:pPr>
              <w:rPr>
                <w:rFonts w:eastAsia="宋体"/>
              </w:rPr>
            </w:pPr>
            <w:r>
              <w:rPr>
                <w:rFonts w:hint="eastAsia" w:eastAsia="宋体"/>
              </w:rPr>
              <w:t>208</w:t>
            </w:r>
          </w:p>
        </w:tc>
        <w:tc>
          <w:tcPr>
            <w:tcW w:w="1629" w:type="dxa"/>
          </w:tcPr>
          <w:p>
            <w:pPr>
              <w:rPr>
                <w:rFonts w:eastAsia="宋体"/>
              </w:rPr>
            </w:pPr>
            <w:r>
              <w:rPr>
                <w:rFonts w:hint="eastAsia" w:eastAsia="宋体"/>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tcPr>
          <w:p>
            <w:r>
              <w:rPr>
                <w:rFonts w:hint="eastAsia" w:eastAsia="Malgun Gothic"/>
              </w:rPr>
              <w:t>4</w:t>
            </w:r>
          </w:p>
        </w:tc>
        <w:tc>
          <w:tcPr>
            <w:tcW w:w="1628" w:type="dxa"/>
          </w:tcPr>
          <w:p>
            <w:pPr>
              <w:rPr>
                <w:rFonts w:eastAsia="宋体"/>
              </w:rPr>
            </w:pPr>
            <w:r>
              <w:rPr>
                <w:rFonts w:hint="eastAsia" w:eastAsia="宋体"/>
              </w:rPr>
              <w:t>128</w:t>
            </w:r>
          </w:p>
        </w:tc>
        <w:tc>
          <w:tcPr>
            <w:tcW w:w="1628" w:type="dxa"/>
          </w:tcPr>
          <w:p>
            <w:pPr>
              <w:rPr>
                <w:rFonts w:eastAsia="宋体"/>
              </w:rPr>
            </w:pPr>
            <w:r>
              <w:rPr>
                <w:rFonts w:hint="eastAsia" w:eastAsia="宋体"/>
              </w:rPr>
              <w:t>176</w:t>
            </w:r>
          </w:p>
        </w:tc>
        <w:tc>
          <w:tcPr>
            <w:tcW w:w="1629" w:type="dxa"/>
          </w:tcPr>
          <w:p>
            <w:pPr>
              <w:rPr>
                <w:rFonts w:eastAsia="宋体"/>
              </w:rPr>
            </w:pPr>
            <w:r>
              <w:rPr>
                <w:rFonts w:hint="eastAsia" w:eastAsia="宋体"/>
              </w:rPr>
              <w:t>224</w:t>
            </w:r>
          </w:p>
        </w:tc>
        <w:tc>
          <w:tcPr>
            <w:tcW w:w="1629" w:type="dxa"/>
          </w:tcPr>
          <w:p>
            <w:pPr>
              <w:rPr>
                <w:rFonts w:eastAsia="宋体"/>
              </w:rPr>
            </w:pPr>
            <w:r>
              <w:rPr>
                <w:rFonts w:hint="eastAsia" w:eastAsia="宋体"/>
              </w:rPr>
              <w:t>288</w:t>
            </w:r>
          </w:p>
        </w:tc>
        <w:tc>
          <w:tcPr>
            <w:tcW w:w="1629" w:type="dxa"/>
          </w:tcPr>
          <w:p>
            <w:pPr>
              <w:rPr>
                <w:rFonts w:eastAsia="宋体"/>
              </w:rPr>
            </w:pPr>
            <w:r>
              <w:rPr>
                <w:rFonts w:hint="eastAsia" w:eastAsia="宋体"/>
              </w:rPr>
              <w:t>352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tcPr>
          <w:p>
            <w:r>
              <w:rPr>
                <w:rFonts w:hint="eastAsia" w:eastAsia="Malgun Gothic"/>
              </w:rPr>
              <w:t>5</w:t>
            </w:r>
          </w:p>
        </w:tc>
        <w:tc>
          <w:tcPr>
            <w:tcW w:w="1628" w:type="dxa"/>
          </w:tcPr>
          <w:p>
            <w:pPr>
              <w:rPr>
                <w:rFonts w:eastAsia="宋体"/>
              </w:rPr>
            </w:pPr>
            <w:r>
              <w:rPr>
                <w:rFonts w:hint="eastAsia" w:eastAsia="宋体"/>
              </w:rPr>
              <w:t>168</w:t>
            </w:r>
          </w:p>
        </w:tc>
        <w:tc>
          <w:tcPr>
            <w:tcW w:w="1628" w:type="dxa"/>
          </w:tcPr>
          <w:p>
            <w:pPr>
              <w:rPr>
                <w:rFonts w:eastAsia="宋体"/>
              </w:rPr>
            </w:pPr>
            <w:r>
              <w:rPr>
                <w:rFonts w:hint="eastAsia" w:eastAsia="宋体"/>
              </w:rPr>
              <w:t>224</w:t>
            </w:r>
          </w:p>
        </w:tc>
        <w:tc>
          <w:tcPr>
            <w:tcW w:w="1629" w:type="dxa"/>
          </w:tcPr>
          <w:p>
            <w:pPr>
              <w:rPr>
                <w:rFonts w:eastAsia="宋体"/>
              </w:rPr>
            </w:pPr>
            <w:r>
              <w:rPr>
                <w:rFonts w:hint="eastAsia" w:eastAsia="宋体"/>
              </w:rPr>
              <w:t>272</w:t>
            </w:r>
          </w:p>
        </w:tc>
        <w:tc>
          <w:tcPr>
            <w:tcW w:w="1629" w:type="dxa"/>
          </w:tcPr>
          <w:p>
            <w:pPr>
              <w:rPr>
                <w:rFonts w:eastAsia="宋体"/>
              </w:rPr>
            </w:pPr>
            <w:r>
              <w:rPr>
                <w:rFonts w:hint="eastAsia" w:eastAsia="宋体"/>
              </w:rPr>
              <w:t>352</w:t>
            </w:r>
          </w:p>
        </w:tc>
        <w:tc>
          <w:tcPr>
            <w:tcW w:w="1629" w:type="dxa"/>
          </w:tcPr>
          <w:p>
            <w:pPr>
              <w:rPr>
                <w:rFonts w:eastAsia="宋体"/>
              </w:rPr>
            </w:pPr>
            <w:r>
              <w:rPr>
                <w:rFonts w:hint="eastAsia" w:eastAsia="宋体"/>
              </w:rPr>
              <w:t>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1" w:type="dxa"/>
          </w:tcPr>
          <w:p>
            <w:r>
              <w:rPr>
                <w:rFonts w:hint="eastAsia" w:eastAsia="Malgun Gothic"/>
              </w:rPr>
              <w:t>6</w:t>
            </w:r>
          </w:p>
        </w:tc>
        <w:tc>
          <w:tcPr>
            <w:tcW w:w="1628" w:type="dxa"/>
          </w:tcPr>
          <w:p>
            <w:pPr>
              <w:rPr>
                <w:rFonts w:eastAsia="宋体"/>
              </w:rPr>
            </w:pPr>
            <w:r>
              <w:rPr>
                <w:rFonts w:hint="eastAsia" w:eastAsia="宋体"/>
              </w:rPr>
              <w:t>208</w:t>
            </w:r>
          </w:p>
        </w:tc>
        <w:tc>
          <w:tcPr>
            <w:tcW w:w="1628" w:type="dxa"/>
          </w:tcPr>
          <w:p>
            <w:pPr>
              <w:rPr>
                <w:rFonts w:eastAsia="宋体"/>
              </w:rPr>
            </w:pPr>
            <w:r>
              <w:rPr>
                <w:rFonts w:hint="eastAsia" w:eastAsia="宋体"/>
              </w:rPr>
              <w:t>272</w:t>
            </w:r>
          </w:p>
        </w:tc>
        <w:tc>
          <w:tcPr>
            <w:tcW w:w="1629" w:type="dxa"/>
          </w:tcPr>
          <w:p>
            <w:pPr>
              <w:rPr>
                <w:rFonts w:eastAsia="宋体"/>
              </w:rPr>
            </w:pPr>
            <w:r>
              <w:rPr>
                <w:rFonts w:hint="eastAsia" w:eastAsia="宋体"/>
              </w:rPr>
              <w:t>320</w:t>
            </w:r>
          </w:p>
        </w:tc>
        <w:tc>
          <w:tcPr>
            <w:tcW w:w="1629" w:type="dxa"/>
          </w:tcPr>
          <w:p>
            <w:pPr>
              <w:rPr>
                <w:rFonts w:eastAsia="宋体"/>
              </w:rPr>
            </w:pPr>
            <w:r>
              <w:rPr>
                <w:rFonts w:hint="eastAsia" w:eastAsia="宋体"/>
              </w:rPr>
              <w:t>432</w:t>
            </w:r>
          </w:p>
        </w:tc>
        <w:tc>
          <w:tcPr>
            <w:tcW w:w="1629" w:type="dxa"/>
          </w:tcPr>
          <w:p>
            <w:pPr>
              <w:rPr>
                <w:rFonts w:eastAsia="宋体"/>
              </w:rPr>
            </w:pPr>
            <w:r>
              <w:rPr>
                <w:rFonts w:hint="eastAsia" w:eastAsia="宋体"/>
              </w:rPr>
              <w:t>528</w:t>
            </w:r>
          </w:p>
        </w:tc>
      </w:tr>
    </w:tbl>
    <w:p>
      <w:pPr>
        <w:snapToGrid w:val="0"/>
        <w:spacing w:afterLines="50"/>
        <w:rPr>
          <w:rFonts w:eastAsiaTheme="minorEastAsia"/>
          <w:sz w:val="20"/>
          <w:lang w:val="en-US" w:eastAsia="zh-CN"/>
        </w:rPr>
      </w:pPr>
    </w:p>
    <w:p>
      <w:pPr>
        <w:snapToGrid w:val="0"/>
        <w:spacing w:afterLines="50"/>
        <w:rPr>
          <w:rFonts w:eastAsiaTheme="minorEastAsia"/>
          <w:b/>
          <w:bCs/>
          <w:i/>
          <w:iCs/>
          <w:lang w:val="en-US" w:eastAsia="zh-CN"/>
        </w:rPr>
      </w:pPr>
      <w:r>
        <w:rPr>
          <w:rFonts w:eastAsiaTheme="minorEastAsia"/>
          <w:b/>
          <w:bCs/>
          <w:i/>
          <w:iCs/>
          <w:lang w:eastAsia="zh-CN"/>
        </w:rPr>
        <w:t>Proposal 3: Configurable number of PRBs and MCS level for payload transmission should be supported. Further downselection of configurations can be considered once the exact msgA content is decided.</w:t>
      </w:r>
    </w:p>
    <w:p>
      <w:pPr>
        <w:pStyle w:val="2"/>
        <w:spacing w:line="360" w:lineRule="auto"/>
        <w:rPr>
          <w:rFonts w:cs="Arial"/>
        </w:rPr>
      </w:pPr>
      <w:r>
        <w:rPr>
          <w:rFonts w:cs="Arial"/>
        </w:rPr>
        <w:t>Conclusion</w:t>
      </w:r>
    </w:p>
    <w:p>
      <w:pPr>
        <w:snapToGrid w:val="0"/>
        <w:spacing w:afterLines="50"/>
        <w:rPr>
          <w:rFonts w:eastAsiaTheme="minorEastAsia"/>
          <w:b/>
          <w:bCs/>
          <w:i/>
          <w:iCs/>
          <w:lang w:val="en-US" w:eastAsia="zh-CN"/>
        </w:rPr>
      </w:pPr>
      <w:r>
        <w:rPr>
          <w:rFonts w:eastAsiaTheme="minorEastAsia"/>
          <w:b/>
          <w:bCs/>
          <w:i/>
          <w:iCs/>
          <w:lang w:val="en-US" w:eastAsia="zh-CN"/>
        </w:rPr>
        <w:t>Proposal 1: The association of the time-frequency resources between preamble and payload should be defined.</w:t>
      </w:r>
    </w:p>
    <w:p>
      <w:pPr>
        <w:pStyle w:val="117"/>
        <w:numPr>
          <w:ilvl w:val="0"/>
          <w:numId w:val="10"/>
        </w:numPr>
        <w:snapToGrid w:val="0"/>
        <w:spacing w:afterLines="50"/>
        <w:rPr>
          <w:rFonts w:eastAsiaTheme="minorEastAsia"/>
          <w:b/>
          <w:bCs/>
          <w:i/>
          <w:iCs/>
          <w:lang w:val="en-US" w:eastAsia="zh-CN"/>
        </w:rPr>
      </w:pPr>
      <w:r>
        <w:rPr>
          <w:rFonts w:eastAsiaTheme="minorEastAsia"/>
          <w:b/>
          <w:bCs/>
          <w:i/>
          <w:iCs/>
          <w:lang w:val="en-US" w:eastAsia="zh-CN"/>
        </w:rPr>
        <w:t>Configurable time/frequency domain offset between each RO and PO should be supported.</w:t>
      </w:r>
    </w:p>
    <w:p>
      <w:pPr>
        <w:pStyle w:val="117"/>
        <w:numPr>
          <w:ilvl w:val="0"/>
          <w:numId w:val="10"/>
        </w:numPr>
        <w:snapToGrid w:val="0"/>
        <w:spacing w:afterLines="50"/>
        <w:rPr>
          <w:rFonts w:eastAsiaTheme="minorEastAsia"/>
          <w:b/>
          <w:bCs/>
          <w:i/>
          <w:iCs/>
          <w:lang w:val="en-US" w:eastAsia="zh-CN"/>
        </w:rPr>
      </w:pPr>
      <w:r>
        <w:rPr>
          <w:rFonts w:eastAsiaTheme="minorEastAsia"/>
          <w:b/>
          <w:bCs/>
          <w:i/>
          <w:iCs/>
          <w:lang w:val="en-US" w:eastAsia="zh-CN"/>
        </w:rPr>
        <w:t>The determination of the value(s) of offset should take into account the UE capability, flexibility, latency, etc.</w:t>
      </w:r>
    </w:p>
    <w:p>
      <w:pPr>
        <w:snapToGrid w:val="0"/>
        <w:spacing w:afterLines="50"/>
        <w:rPr>
          <w:rFonts w:eastAsiaTheme="minorEastAsia"/>
          <w:b/>
          <w:i/>
          <w:lang w:val="en-US" w:eastAsia="zh-CN"/>
        </w:rPr>
      </w:pPr>
      <w:r>
        <w:rPr>
          <w:b/>
          <w:i/>
          <w:lang w:val="en-US" w:eastAsia="zh-CN"/>
        </w:rPr>
        <w:t>Proposal</w:t>
      </w:r>
      <w:r>
        <w:rPr>
          <w:rFonts w:hint="eastAsia"/>
          <w:b/>
          <w:i/>
          <w:lang w:val="en-US" w:eastAsia="zh-CN"/>
        </w:rPr>
        <w:t xml:space="preserve"> </w:t>
      </w:r>
      <w:r>
        <w:rPr>
          <w:b/>
          <w:i/>
          <w:lang w:val="en-US" w:eastAsia="zh-CN"/>
        </w:rPr>
        <w:t xml:space="preserve">2: Multiple groups of </w:t>
      </w:r>
      <w:r>
        <w:rPr>
          <w:rFonts w:eastAsiaTheme="minorEastAsia"/>
          <w:b/>
          <w:i/>
          <w:lang w:val="en-US" w:eastAsia="zh-CN"/>
        </w:rPr>
        <w:t>PUSCH resource in one occasion can be supported.</w:t>
      </w:r>
    </w:p>
    <w:p>
      <w:pPr>
        <w:pStyle w:val="117"/>
        <w:numPr>
          <w:ilvl w:val="0"/>
          <w:numId w:val="11"/>
        </w:numPr>
        <w:snapToGrid w:val="0"/>
        <w:spacing w:afterLines="50"/>
        <w:rPr>
          <w:rFonts w:eastAsiaTheme="minorEastAsia"/>
          <w:b/>
          <w:i/>
          <w:lang w:val="en-US" w:eastAsia="zh-CN"/>
        </w:rPr>
      </w:pPr>
      <w:r>
        <w:rPr>
          <w:rFonts w:eastAsiaTheme="minorEastAsia"/>
          <w:b/>
          <w:i/>
          <w:lang w:val="en-US" w:eastAsia="zh-CN"/>
        </w:rPr>
        <w:t>Mapping rule between preamble (group) and resource (group) should be defined.</w:t>
      </w:r>
    </w:p>
    <w:p>
      <w:pPr>
        <w:pStyle w:val="117"/>
        <w:numPr>
          <w:ilvl w:val="0"/>
          <w:numId w:val="11"/>
        </w:numPr>
        <w:snapToGrid w:val="0"/>
        <w:spacing w:afterLines="50"/>
        <w:rPr>
          <w:rFonts w:eastAsiaTheme="minorEastAsia"/>
          <w:b/>
          <w:i/>
          <w:lang w:val="en-US" w:eastAsia="zh-CN"/>
        </w:rPr>
      </w:pPr>
      <w:r>
        <w:rPr>
          <w:rFonts w:eastAsiaTheme="minorEastAsia"/>
          <w:b/>
          <w:i/>
          <w:lang w:val="en-US" w:eastAsia="zh-CN"/>
        </w:rPr>
        <w:t>Mapping rule between preamble index within each group and DMRS port should be defined.</w:t>
      </w:r>
    </w:p>
    <w:p>
      <w:pPr>
        <w:snapToGrid w:val="0"/>
        <w:spacing w:afterLines="50"/>
        <w:rPr>
          <w:rFonts w:eastAsiaTheme="minorEastAsia"/>
          <w:b/>
          <w:bCs/>
          <w:i/>
          <w:iCs/>
          <w:lang w:val="en-US" w:eastAsia="zh-CN"/>
        </w:rPr>
      </w:pPr>
      <w:r>
        <w:rPr>
          <w:rFonts w:eastAsiaTheme="minorEastAsia"/>
          <w:b/>
          <w:bCs/>
          <w:i/>
          <w:iCs/>
          <w:lang w:eastAsia="zh-CN"/>
        </w:rPr>
        <w:t>Proposal 3: Configurable number of PRBs and MCS level for payload transmission should be supported. Further downselection of configurations can be considered once the exact msgA content is decided.</w:t>
      </w:r>
    </w:p>
    <w:p>
      <w:pPr>
        <w:spacing w:after="0"/>
        <w:rPr>
          <w:rFonts w:eastAsiaTheme="minorEastAsia"/>
          <w:lang w:val="en-US" w:eastAsia="zh-CN"/>
        </w:rPr>
      </w:pPr>
    </w:p>
    <w:p>
      <w:pPr>
        <w:pStyle w:val="2"/>
        <w:spacing w:line="360" w:lineRule="auto"/>
        <w:rPr>
          <w:rFonts w:cs="Arial"/>
        </w:rPr>
      </w:pPr>
      <w:r>
        <w:rPr>
          <w:rFonts w:cs="Arial"/>
        </w:rPr>
        <w:t>References</w:t>
      </w:r>
    </w:p>
    <w:p>
      <w:pPr>
        <w:numPr>
          <w:ilvl w:val="0"/>
          <w:numId w:val="12"/>
        </w:numPr>
        <w:spacing w:after="120"/>
      </w:pPr>
      <w:bookmarkStart w:id="0" w:name="_Ref534726084"/>
      <w:r>
        <w:t>RP-182894, “New work item: 2-step RACH for NR”, ZTE Corporation, Sanechips, 3GPP RN#89, Sorrento, Italy, December 2018.</w:t>
      </w:r>
      <w:bookmarkEnd w:id="0"/>
    </w:p>
    <w:p>
      <w:pPr>
        <w:snapToGrid w:val="0"/>
        <w:spacing w:after="0" w:line="360" w:lineRule="auto"/>
        <w:rPr>
          <w:rFonts w:eastAsiaTheme="minorEastAsia"/>
          <w:sz w:val="20"/>
          <w:lang w:eastAsia="zh-CN"/>
        </w:rPr>
      </w:pPr>
    </w:p>
    <w:p>
      <w:pPr>
        <w:snapToGrid w:val="0"/>
        <w:spacing w:after="0" w:line="360" w:lineRule="auto"/>
        <w:rPr>
          <w:sz w:val="20"/>
        </w:rPr>
      </w:pPr>
    </w:p>
    <w:p>
      <w:pPr>
        <w:pStyle w:val="62"/>
        <w:spacing w:line="360" w:lineRule="auto"/>
        <w:rPr>
          <w:rFonts w:ascii="Times New Roman" w:hAnsi="Times New Roman" w:eastAsiaTheme="minorEastAsia"/>
          <w:lang w:val="en-US"/>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Webdings">
    <w:panose1 w:val="05030102010509060703"/>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fldChar w:fldCharType="begin"/>
    </w:r>
    <w:r>
      <w:instrText xml:space="preserve"> PAGE   \* MERGEFORMAT </w:instrText>
    </w:r>
    <w:r>
      <w:fldChar w:fldCharType="separate"/>
    </w:r>
    <w: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CE315D"/>
    <w:multiLevelType w:val="singleLevel"/>
    <w:tmpl w:val="B5CE315D"/>
    <w:lvl w:ilvl="0" w:tentative="0">
      <w:start w:val="1"/>
      <w:numFmt w:val="bullet"/>
      <w:lvlText w:val=""/>
      <w:lvlJc w:val="left"/>
      <w:pPr>
        <w:ind w:left="42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18E82187"/>
    <w:multiLevelType w:val="multilevel"/>
    <w:tmpl w:val="18E82187"/>
    <w:lvl w:ilvl="0" w:tentative="0">
      <w:start w:val="1"/>
      <w:numFmt w:val="decimal"/>
      <w:pStyle w:val="44"/>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1437872"/>
    <w:multiLevelType w:val="singleLevel"/>
    <w:tmpl w:val="21437872"/>
    <w:lvl w:ilvl="0" w:tentative="0">
      <w:start w:val="1"/>
      <w:numFmt w:val="bullet"/>
      <w:lvlText w:val=""/>
      <w:lvlJc w:val="left"/>
      <w:pPr>
        <w:ind w:left="420" w:hanging="420"/>
      </w:pPr>
      <w:rPr>
        <w:rFonts w:hint="default" w:ascii="Wingdings" w:hAnsi="Wingdings"/>
      </w:rPr>
    </w:lvl>
  </w:abstractNum>
  <w:abstractNum w:abstractNumId="5">
    <w:nsid w:val="39F34FBB"/>
    <w:multiLevelType w:val="multilevel"/>
    <w:tmpl w:val="39F34FBB"/>
    <w:lvl w:ilvl="0" w:tentative="0">
      <w:start w:val="1"/>
      <w:numFmt w:val="bullet"/>
      <w:lvlText w:val=""/>
      <w:lvlJc w:val="left"/>
      <w:pPr>
        <w:ind w:left="420" w:hanging="420"/>
      </w:pPr>
      <w:rPr>
        <w:rFonts w:hint="default" w:ascii="Wingdings" w:hAnsi="Wingdings"/>
        <w:sz w:val="1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91"/>
      <w:lvlText w:val="[%1]"/>
      <w:lvlJc w:val="left"/>
      <w:pPr>
        <w:tabs>
          <w:tab w:val="left" w:pos="360"/>
        </w:tabs>
        <w:ind w:left="360" w:hanging="360"/>
      </w:pPr>
    </w:lvl>
  </w:abstractNum>
  <w:abstractNum w:abstractNumId="7">
    <w:nsid w:val="41CA2C26"/>
    <w:multiLevelType w:val="singleLevel"/>
    <w:tmpl w:val="41CA2C26"/>
    <w:lvl w:ilvl="0" w:tentative="0">
      <w:start w:val="1"/>
      <w:numFmt w:val="bullet"/>
      <w:pStyle w:val="75"/>
      <w:lvlText w:val=""/>
      <w:lvlJc w:val="left"/>
      <w:pPr>
        <w:tabs>
          <w:tab w:val="left" w:pos="360"/>
        </w:tabs>
        <w:ind w:left="360" w:hanging="360"/>
      </w:pPr>
      <w:rPr>
        <w:rFonts w:hint="default" w:ascii="Webdings" w:hAnsi="Webdings"/>
      </w:rPr>
    </w:lvl>
  </w:abstractNum>
  <w:abstractNum w:abstractNumId="8">
    <w:nsid w:val="5101505E"/>
    <w:multiLevelType w:val="multilevel"/>
    <w:tmpl w:val="5101505E"/>
    <w:lvl w:ilvl="0" w:tentative="0">
      <w:start w:val="1"/>
      <w:numFmt w:val="decimal"/>
      <w:pStyle w:val="8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3E56F14"/>
    <w:multiLevelType w:val="multilevel"/>
    <w:tmpl w:val="73E56F14"/>
    <w:lvl w:ilvl="0" w:tentative="0">
      <w:start w:val="1"/>
      <w:numFmt w:val="decimal"/>
      <w:pStyle w:val="59"/>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73C086B"/>
    <w:multiLevelType w:val="multilevel"/>
    <w:tmpl w:val="773C086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9C1257E"/>
    <w:multiLevelType w:val="multilevel"/>
    <w:tmpl w:val="79C1257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3"/>
  </w:num>
  <w:num w:numId="3">
    <w:abstractNumId w:val="9"/>
  </w:num>
  <w:num w:numId="4">
    <w:abstractNumId w:val="7"/>
  </w:num>
  <w:num w:numId="5">
    <w:abstractNumId w:val="8"/>
  </w:num>
  <w:num w:numId="6">
    <w:abstractNumId w:val="6"/>
  </w:num>
  <w:num w:numId="7">
    <w:abstractNumId w:val="5"/>
  </w:num>
  <w:num w:numId="8">
    <w:abstractNumId w:val="0"/>
  </w:num>
  <w:num w:numId="9">
    <w:abstractNumId w:val="4"/>
  </w:num>
  <w:num w:numId="10">
    <w:abstractNumId w:val="11"/>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43"/>
    <w:rsid w:val="0000024E"/>
    <w:rsid w:val="000002EB"/>
    <w:rsid w:val="00000578"/>
    <w:rsid w:val="00000673"/>
    <w:rsid w:val="000006A4"/>
    <w:rsid w:val="00000A94"/>
    <w:rsid w:val="00000B79"/>
    <w:rsid w:val="00000BA0"/>
    <w:rsid w:val="00000BA7"/>
    <w:rsid w:val="00000F10"/>
    <w:rsid w:val="000013B6"/>
    <w:rsid w:val="00001405"/>
    <w:rsid w:val="0000143A"/>
    <w:rsid w:val="00001B6B"/>
    <w:rsid w:val="00002232"/>
    <w:rsid w:val="0000233C"/>
    <w:rsid w:val="00002AC2"/>
    <w:rsid w:val="00002CAB"/>
    <w:rsid w:val="00002E58"/>
    <w:rsid w:val="00003174"/>
    <w:rsid w:val="00003258"/>
    <w:rsid w:val="000038E9"/>
    <w:rsid w:val="000040F9"/>
    <w:rsid w:val="0000423A"/>
    <w:rsid w:val="0000445D"/>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49A"/>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3FDF"/>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2D8"/>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CD5"/>
    <w:rsid w:val="00042E82"/>
    <w:rsid w:val="00043032"/>
    <w:rsid w:val="000431C9"/>
    <w:rsid w:val="00043B51"/>
    <w:rsid w:val="00043C88"/>
    <w:rsid w:val="000444D5"/>
    <w:rsid w:val="00044A67"/>
    <w:rsid w:val="000451CD"/>
    <w:rsid w:val="00045217"/>
    <w:rsid w:val="0004539B"/>
    <w:rsid w:val="000456C6"/>
    <w:rsid w:val="000458CC"/>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731"/>
    <w:rsid w:val="00066D34"/>
    <w:rsid w:val="00066EE6"/>
    <w:rsid w:val="00066EFD"/>
    <w:rsid w:val="00067137"/>
    <w:rsid w:val="0006751A"/>
    <w:rsid w:val="00067727"/>
    <w:rsid w:val="00067B12"/>
    <w:rsid w:val="00067B4E"/>
    <w:rsid w:val="00067B52"/>
    <w:rsid w:val="00067D45"/>
    <w:rsid w:val="00070389"/>
    <w:rsid w:val="00070B9D"/>
    <w:rsid w:val="0007105C"/>
    <w:rsid w:val="0007118E"/>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4F5"/>
    <w:rsid w:val="000748E5"/>
    <w:rsid w:val="0007497A"/>
    <w:rsid w:val="00074C4E"/>
    <w:rsid w:val="00074E39"/>
    <w:rsid w:val="000756AB"/>
    <w:rsid w:val="000758CD"/>
    <w:rsid w:val="000759BB"/>
    <w:rsid w:val="000759D6"/>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677"/>
    <w:rsid w:val="000A189F"/>
    <w:rsid w:val="000A1A14"/>
    <w:rsid w:val="000A1AE6"/>
    <w:rsid w:val="000A1B4B"/>
    <w:rsid w:val="000A1B71"/>
    <w:rsid w:val="000A2382"/>
    <w:rsid w:val="000A2423"/>
    <w:rsid w:val="000A2755"/>
    <w:rsid w:val="000A3280"/>
    <w:rsid w:val="000A344C"/>
    <w:rsid w:val="000A3643"/>
    <w:rsid w:val="000A3A33"/>
    <w:rsid w:val="000A3E2A"/>
    <w:rsid w:val="000A3F47"/>
    <w:rsid w:val="000A3FB0"/>
    <w:rsid w:val="000A4639"/>
    <w:rsid w:val="000A4702"/>
    <w:rsid w:val="000A4EF4"/>
    <w:rsid w:val="000A5AFC"/>
    <w:rsid w:val="000A5B43"/>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8A2"/>
    <w:rsid w:val="000B2C38"/>
    <w:rsid w:val="000B2CFE"/>
    <w:rsid w:val="000B39CE"/>
    <w:rsid w:val="000B3BE2"/>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88F"/>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DCB"/>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383"/>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0BBE"/>
    <w:rsid w:val="000E1358"/>
    <w:rsid w:val="000E1641"/>
    <w:rsid w:val="000E1650"/>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599"/>
    <w:rsid w:val="000F170B"/>
    <w:rsid w:val="000F187C"/>
    <w:rsid w:val="000F1AA9"/>
    <w:rsid w:val="000F1C2F"/>
    <w:rsid w:val="000F2253"/>
    <w:rsid w:val="000F22F5"/>
    <w:rsid w:val="000F238F"/>
    <w:rsid w:val="000F24D2"/>
    <w:rsid w:val="000F27C3"/>
    <w:rsid w:val="000F2863"/>
    <w:rsid w:val="000F28C8"/>
    <w:rsid w:val="000F2F8D"/>
    <w:rsid w:val="000F3190"/>
    <w:rsid w:val="000F31F2"/>
    <w:rsid w:val="000F3981"/>
    <w:rsid w:val="000F3AA8"/>
    <w:rsid w:val="000F3ED7"/>
    <w:rsid w:val="000F3EDC"/>
    <w:rsid w:val="000F45A5"/>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5EE"/>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07C5E"/>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265"/>
    <w:rsid w:val="00121293"/>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80B"/>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7D6"/>
    <w:rsid w:val="0013092B"/>
    <w:rsid w:val="00130CB3"/>
    <w:rsid w:val="00130CF3"/>
    <w:rsid w:val="00130D99"/>
    <w:rsid w:val="00131220"/>
    <w:rsid w:val="00131592"/>
    <w:rsid w:val="001315C5"/>
    <w:rsid w:val="001315ED"/>
    <w:rsid w:val="00131788"/>
    <w:rsid w:val="001317D1"/>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3F14"/>
    <w:rsid w:val="001340CE"/>
    <w:rsid w:val="00134141"/>
    <w:rsid w:val="0013423B"/>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3FE"/>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4C7"/>
    <w:rsid w:val="0014757B"/>
    <w:rsid w:val="001477BD"/>
    <w:rsid w:val="001479E3"/>
    <w:rsid w:val="00147A6A"/>
    <w:rsid w:val="00147C4F"/>
    <w:rsid w:val="00147F46"/>
    <w:rsid w:val="0015022C"/>
    <w:rsid w:val="0015095C"/>
    <w:rsid w:val="00150BFC"/>
    <w:rsid w:val="00150C54"/>
    <w:rsid w:val="00150D37"/>
    <w:rsid w:val="00150D7D"/>
    <w:rsid w:val="00150FDB"/>
    <w:rsid w:val="0015169E"/>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58D"/>
    <w:rsid w:val="00156E58"/>
    <w:rsid w:val="0015737A"/>
    <w:rsid w:val="001575EC"/>
    <w:rsid w:val="00157820"/>
    <w:rsid w:val="00157B91"/>
    <w:rsid w:val="00157C97"/>
    <w:rsid w:val="0016001A"/>
    <w:rsid w:val="00160212"/>
    <w:rsid w:val="00160306"/>
    <w:rsid w:val="0016039E"/>
    <w:rsid w:val="0016060B"/>
    <w:rsid w:val="0016070F"/>
    <w:rsid w:val="00160DE9"/>
    <w:rsid w:val="00160E60"/>
    <w:rsid w:val="0016181E"/>
    <w:rsid w:val="00161DD2"/>
    <w:rsid w:val="00161E23"/>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13F"/>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A27"/>
    <w:rsid w:val="00172B69"/>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762"/>
    <w:rsid w:val="00190864"/>
    <w:rsid w:val="00190998"/>
    <w:rsid w:val="00190A53"/>
    <w:rsid w:val="00190A72"/>
    <w:rsid w:val="00190B83"/>
    <w:rsid w:val="00190D9B"/>
    <w:rsid w:val="00190EDD"/>
    <w:rsid w:val="00191654"/>
    <w:rsid w:val="00191C11"/>
    <w:rsid w:val="00191C1D"/>
    <w:rsid w:val="00191F35"/>
    <w:rsid w:val="00191FBA"/>
    <w:rsid w:val="00192870"/>
    <w:rsid w:val="00192939"/>
    <w:rsid w:val="0019294D"/>
    <w:rsid w:val="00192973"/>
    <w:rsid w:val="00192D48"/>
    <w:rsid w:val="0019337A"/>
    <w:rsid w:val="00193499"/>
    <w:rsid w:val="0019383C"/>
    <w:rsid w:val="00193896"/>
    <w:rsid w:val="00193BD1"/>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3DCA"/>
    <w:rsid w:val="001A429F"/>
    <w:rsid w:val="001A452E"/>
    <w:rsid w:val="001A4B66"/>
    <w:rsid w:val="001A5125"/>
    <w:rsid w:val="001A53AB"/>
    <w:rsid w:val="001A55A3"/>
    <w:rsid w:val="001A55B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9AF"/>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A3"/>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36D"/>
    <w:rsid w:val="001F7A12"/>
    <w:rsid w:val="001F7D56"/>
    <w:rsid w:val="001F7FE2"/>
    <w:rsid w:val="0020022F"/>
    <w:rsid w:val="0020055A"/>
    <w:rsid w:val="0020084F"/>
    <w:rsid w:val="002009EA"/>
    <w:rsid w:val="00200D41"/>
    <w:rsid w:val="00200FD2"/>
    <w:rsid w:val="00201B4B"/>
    <w:rsid w:val="00201DEA"/>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8F0"/>
    <w:rsid w:val="00204CD5"/>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49"/>
    <w:rsid w:val="002069CB"/>
    <w:rsid w:val="00206CE8"/>
    <w:rsid w:val="00206E43"/>
    <w:rsid w:val="00206E5C"/>
    <w:rsid w:val="00206F81"/>
    <w:rsid w:val="00207316"/>
    <w:rsid w:val="0020738A"/>
    <w:rsid w:val="002073DB"/>
    <w:rsid w:val="00207551"/>
    <w:rsid w:val="00207616"/>
    <w:rsid w:val="00207630"/>
    <w:rsid w:val="00207B8A"/>
    <w:rsid w:val="002111F4"/>
    <w:rsid w:val="00211422"/>
    <w:rsid w:val="00211710"/>
    <w:rsid w:val="0021172C"/>
    <w:rsid w:val="0021173B"/>
    <w:rsid w:val="002117E5"/>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64E"/>
    <w:rsid w:val="00213888"/>
    <w:rsid w:val="00213C7C"/>
    <w:rsid w:val="0021403B"/>
    <w:rsid w:val="002142F7"/>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02"/>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514"/>
    <w:rsid w:val="002466AE"/>
    <w:rsid w:val="00246AD1"/>
    <w:rsid w:val="00247534"/>
    <w:rsid w:val="00247F52"/>
    <w:rsid w:val="002503AE"/>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3D37"/>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AB5"/>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244"/>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C76"/>
    <w:rsid w:val="00297D36"/>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143"/>
    <w:rsid w:val="002A35F1"/>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5F"/>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178"/>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36D"/>
    <w:rsid w:val="002B6EE8"/>
    <w:rsid w:val="002B7756"/>
    <w:rsid w:val="002B7D09"/>
    <w:rsid w:val="002B7EE7"/>
    <w:rsid w:val="002C0148"/>
    <w:rsid w:val="002C01ED"/>
    <w:rsid w:val="002C05BB"/>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4F6B"/>
    <w:rsid w:val="002D5203"/>
    <w:rsid w:val="002D5247"/>
    <w:rsid w:val="002D52DC"/>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2F7C33"/>
    <w:rsid w:val="0030005B"/>
    <w:rsid w:val="00300438"/>
    <w:rsid w:val="003004CC"/>
    <w:rsid w:val="003005F1"/>
    <w:rsid w:val="0030100F"/>
    <w:rsid w:val="0030103C"/>
    <w:rsid w:val="00301192"/>
    <w:rsid w:val="003015AA"/>
    <w:rsid w:val="003018F5"/>
    <w:rsid w:val="00301BA4"/>
    <w:rsid w:val="00301BC8"/>
    <w:rsid w:val="00301BCC"/>
    <w:rsid w:val="00301D1F"/>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60B"/>
    <w:rsid w:val="00315BF8"/>
    <w:rsid w:val="00315D00"/>
    <w:rsid w:val="00315D8F"/>
    <w:rsid w:val="00316197"/>
    <w:rsid w:val="00316449"/>
    <w:rsid w:val="00316522"/>
    <w:rsid w:val="003169E1"/>
    <w:rsid w:val="00316A84"/>
    <w:rsid w:val="00316BEE"/>
    <w:rsid w:val="00316D41"/>
    <w:rsid w:val="00316EC9"/>
    <w:rsid w:val="0031715A"/>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0E"/>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2B2"/>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78"/>
    <w:rsid w:val="00332F82"/>
    <w:rsid w:val="0033308A"/>
    <w:rsid w:val="00333448"/>
    <w:rsid w:val="00333506"/>
    <w:rsid w:val="003339A0"/>
    <w:rsid w:val="0033417F"/>
    <w:rsid w:val="0033436F"/>
    <w:rsid w:val="0033455F"/>
    <w:rsid w:val="003349A4"/>
    <w:rsid w:val="00334C85"/>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67E"/>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824"/>
    <w:rsid w:val="00353A8E"/>
    <w:rsid w:val="00353AB3"/>
    <w:rsid w:val="00353B83"/>
    <w:rsid w:val="003542A4"/>
    <w:rsid w:val="00354916"/>
    <w:rsid w:val="003549DE"/>
    <w:rsid w:val="00354E88"/>
    <w:rsid w:val="00354FDB"/>
    <w:rsid w:val="003551D4"/>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3D4C"/>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2B2B"/>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5A"/>
    <w:rsid w:val="00395CC6"/>
    <w:rsid w:val="00395FF8"/>
    <w:rsid w:val="00396167"/>
    <w:rsid w:val="00396348"/>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29E"/>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25"/>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4E04"/>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1F9C"/>
    <w:rsid w:val="00412000"/>
    <w:rsid w:val="00412517"/>
    <w:rsid w:val="00412783"/>
    <w:rsid w:val="0041290F"/>
    <w:rsid w:val="00412AF3"/>
    <w:rsid w:val="00412DB1"/>
    <w:rsid w:val="00413041"/>
    <w:rsid w:val="004130B8"/>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4F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4C"/>
    <w:rsid w:val="00446CEA"/>
    <w:rsid w:val="00446FA2"/>
    <w:rsid w:val="0044749F"/>
    <w:rsid w:val="004478E4"/>
    <w:rsid w:val="004478FD"/>
    <w:rsid w:val="00447CF9"/>
    <w:rsid w:val="004501A0"/>
    <w:rsid w:val="004501EE"/>
    <w:rsid w:val="00450AD4"/>
    <w:rsid w:val="00451591"/>
    <w:rsid w:val="004518C7"/>
    <w:rsid w:val="004518CD"/>
    <w:rsid w:val="00451A6C"/>
    <w:rsid w:val="00451BAE"/>
    <w:rsid w:val="0045244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1BC"/>
    <w:rsid w:val="004603AA"/>
    <w:rsid w:val="004612D2"/>
    <w:rsid w:val="004612D9"/>
    <w:rsid w:val="00461492"/>
    <w:rsid w:val="004615E0"/>
    <w:rsid w:val="00461837"/>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09"/>
    <w:rsid w:val="00472659"/>
    <w:rsid w:val="00472807"/>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D90"/>
    <w:rsid w:val="00477E8F"/>
    <w:rsid w:val="00477E95"/>
    <w:rsid w:val="00477F59"/>
    <w:rsid w:val="00477FA1"/>
    <w:rsid w:val="004806D3"/>
    <w:rsid w:val="00480845"/>
    <w:rsid w:val="00480C94"/>
    <w:rsid w:val="00480F7F"/>
    <w:rsid w:val="00480FCA"/>
    <w:rsid w:val="0048113E"/>
    <w:rsid w:val="00481458"/>
    <w:rsid w:val="004819E5"/>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20"/>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984"/>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4B"/>
    <w:rsid w:val="004A3EBB"/>
    <w:rsid w:val="004A4122"/>
    <w:rsid w:val="004A448D"/>
    <w:rsid w:val="004A480D"/>
    <w:rsid w:val="004A4B1C"/>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AED"/>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B7BF3"/>
    <w:rsid w:val="004B7D8E"/>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3"/>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A0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8A6"/>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5AB"/>
    <w:rsid w:val="004F1A0C"/>
    <w:rsid w:val="004F1C5C"/>
    <w:rsid w:val="004F1F4A"/>
    <w:rsid w:val="004F24A8"/>
    <w:rsid w:val="004F2B28"/>
    <w:rsid w:val="004F365E"/>
    <w:rsid w:val="004F3897"/>
    <w:rsid w:val="004F3BC5"/>
    <w:rsid w:val="004F40E9"/>
    <w:rsid w:val="004F41D1"/>
    <w:rsid w:val="004F43F0"/>
    <w:rsid w:val="004F461D"/>
    <w:rsid w:val="004F46B4"/>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5B"/>
    <w:rsid w:val="005004B5"/>
    <w:rsid w:val="00500AF7"/>
    <w:rsid w:val="00500AFB"/>
    <w:rsid w:val="00500C89"/>
    <w:rsid w:val="00500C8C"/>
    <w:rsid w:val="00500D4C"/>
    <w:rsid w:val="0050110D"/>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19A"/>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1C8"/>
    <w:rsid w:val="00520255"/>
    <w:rsid w:val="005207CE"/>
    <w:rsid w:val="00520983"/>
    <w:rsid w:val="00520A58"/>
    <w:rsid w:val="00520DD7"/>
    <w:rsid w:val="005215AC"/>
    <w:rsid w:val="0052177B"/>
    <w:rsid w:val="005217CF"/>
    <w:rsid w:val="00522754"/>
    <w:rsid w:val="00522839"/>
    <w:rsid w:val="00522E04"/>
    <w:rsid w:val="00522E08"/>
    <w:rsid w:val="005230AF"/>
    <w:rsid w:val="0052357E"/>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27E41"/>
    <w:rsid w:val="0053036B"/>
    <w:rsid w:val="0053063D"/>
    <w:rsid w:val="005307B4"/>
    <w:rsid w:val="00530A0C"/>
    <w:rsid w:val="00530DD5"/>
    <w:rsid w:val="005312FB"/>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29"/>
    <w:rsid w:val="00535AE3"/>
    <w:rsid w:val="005362A0"/>
    <w:rsid w:val="00536541"/>
    <w:rsid w:val="005372D7"/>
    <w:rsid w:val="005374AB"/>
    <w:rsid w:val="0053765D"/>
    <w:rsid w:val="00540354"/>
    <w:rsid w:val="0054050B"/>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243"/>
    <w:rsid w:val="0054635A"/>
    <w:rsid w:val="005463D0"/>
    <w:rsid w:val="00546659"/>
    <w:rsid w:val="00546765"/>
    <w:rsid w:val="00546936"/>
    <w:rsid w:val="00546D2E"/>
    <w:rsid w:val="00546D44"/>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A42"/>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8F"/>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18"/>
    <w:rsid w:val="005854CB"/>
    <w:rsid w:val="0058589E"/>
    <w:rsid w:val="005858F8"/>
    <w:rsid w:val="005859F6"/>
    <w:rsid w:val="00586703"/>
    <w:rsid w:val="005868B1"/>
    <w:rsid w:val="00586BBB"/>
    <w:rsid w:val="00586BC2"/>
    <w:rsid w:val="00586F92"/>
    <w:rsid w:val="005877E8"/>
    <w:rsid w:val="00587809"/>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DF6"/>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7BF"/>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DFE"/>
    <w:rsid w:val="005B4EE9"/>
    <w:rsid w:val="005B52AF"/>
    <w:rsid w:val="005B546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9D3"/>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D7F2F"/>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29B"/>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1D"/>
    <w:rsid w:val="005F57F3"/>
    <w:rsid w:val="005F585B"/>
    <w:rsid w:val="005F5F01"/>
    <w:rsid w:val="005F60F3"/>
    <w:rsid w:val="005F64A6"/>
    <w:rsid w:val="005F6527"/>
    <w:rsid w:val="005F679A"/>
    <w:rsid w:val="005F67BB"/>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A1C"/>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AFE"/>
    <w:rsid w:val="00605B72"/>
    <w:rsid w:val="00605BDD"/>
    <w:rsid w:val="006063FD"/>
    <w:rsid w:val="006066C3"/>
    <w:rsid w:val="00606962"/>
    <w:rsid w:val="00606993"/>
    <w:rsid w:val="00606D4B"/>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834"/>
    <w:rsid w:val="0061592C"/>
    <w:rsid w:val="00615AF7"/>
    <w:rsid w:val="0061678C"/>
    <w:rsid w:val="0061701D"/>
    <w:rsid w:val="006173B4"/>
    <w:rsid w:val="006179B8"/>
    <w:rsid w:val="00617FE3"/>
    <w:rsid w:val="006202A7"/>
    <w:rsid w:val="00620366"/>
    <w:rsid w:val="00620983"/>
    <w:rsid w:val="00620DA4"/>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5"/>
    <w:rsid w:val="00622DB9"/>
    <w:rsid w:val="00623677"/>
    <w:rsid w:val="00623A05"/>
    <w:rsid w:val="00623D15"/>
    <w:rsid w:val="00623E5D"/>
    <w:rsid w:val="00624068"/>
    <w:rsid w:val="00624840"/>
    <w:rsid w:val="00624AA3"/>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95C"/>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D0A"/>
    <w:rsid w:val="00647E65"/>
    <w:rsid w:val="006502B1"/>
    <w:rsid w:val="00650330"/>
    <w:rsid w:val="00650414"/>
    <w:rsid w:val="0065051B"/>
    <w:rsid w:val="00650539"/>
    <w:rsid w:val="00650559"/>
    <w:rsid w:val="006507B2"/>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069"/>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184"/>
    <w:rsid w:val="006662BD"/>
    <w:rsid w:val="006664BF"/>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8A5"/>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3D5"/>
    <w:rsid w:val="006774E9"/>
    <w:rsid w:val="0067773B"/>
    <w:rsid w:val="00677D6B"/>
    <w:rsid w:val="00677EA6"/>
    <w:rsid w:val="00677FB1"/>
    <w:rsid w:val="00677FC2"/>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3D18"/>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97BBA"/>
    <w:rsid w:val="006A001F"/>
    <w:rsid w:val="006A08D1"/>
    <w:rsid w:val="006A0A05"/>
    <w:rsid w:val="006A0A37"/>
    <w:rsid w:val="006A0A42"/>
    <w:rsid w:val="006A0BA4"/>
    <w:rsid w:val="006A0E10"/>
    <w:rsid w:val="006A1171"/>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ED5"/>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9DC"/>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94"/>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0B2"/>
    <w:rsid w:val="006D21BE"/>
    <w:rsid w:val="006D220C"/>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146"/>
    <w:rsid w:val="006E144F"/>
    <w:rsid w:val="006E165D"/>
    <w:rsid w:val="006E186A"/>
    <w:rsid w:val="006E1C0F"/>
    <w:rsid w:val="006E1F8A"/>
    <w:rsid w:val="006E1F93"/>
    <w:rsid w:val="006E25B2"/>
    <w:rsid w:val="006E26DD"/>
    <w:rsid w:val="006E26F9"/>
    <w:rsid w:val="006E270C"/>
    <w:rsid w:val="006E27A8"/>
    <w:rsid w:val="006E27CF"/>
    <w:rsid w:val="006E284E"/>
    <w:rsid w:val="006E2896"/>
    <w:rsid w:val="006E28FC"/>
    <w:rsid w:val="006E2AB1"/>
    <w:rsid w:val="006E2E19"/>
    <w:rsid w:val="006E2E3B"/>
    <w:rsid w:val="006E3438"/>
    <w:rsid w:val="006E37C2"/>
    <w:rsid w:val="006E39EB"/>
    <w:rsid w:val="006E3BE6"/>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06"/>
    <w:rsid w:val="006F16BD"/>
    <w:rsid w:val="006F1A2D"/>
    <w:rsid w:val="006F1B73"/>
    <w:rsid w:val="006F214A"/>
    <w:rsid w:val="006F22A9"/>
    <w:rsid w:val="006F2D75"/>
    <w:rsid w:val="006F2F42"/>
    <w:rsid w:val="006F3B01"/>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18"/>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574"/>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24E"/>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60C"/>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CF8"/>
    <w:rsid w:val="00727F35"/>
    <w:rsid w:val="007300C9"/>
    <w:rsid w:val="0073023D"/>
    <w:rsid w:val="00730366"/>
    <w:rsid w:val="00730543"/>
    <w:rsid w:val="00730BA2"/>
    <w:rsid w:val="007310A7"/>
    <w:rsid w:val="00731231"/>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427"/>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5FB"/>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2C56"/>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74A"/>
    <w:rsid w:val="007829AB"/>
    <w:rsid w:val="00782F0F"/>
    <w:rsid w:val="00782F17"/>
    <w:rsid w:val="00783008"/>
    <w:rsid w:val="00783159"/>
    <w:rsid w:val="007831F9"/>
    <w:rsid w:val="00783223"/>
    <w:rsid w:val="007832DF"/>
    <w:rsid w:val="00783399"/>
    <w:rsid w:val="007833B0"/>
    <w:rsid w:val="007838D2"/>
    <w:rsid w:val="00783AF2"/>
    <w:rsid w:val="00783AF6"/>
    <w:rsid w:val="00783B65"/>
    <w:rsid w:val="00783CBF"/>
    <w:rsid w:val="007844F4"/>
    <w:rsid w:val="00784915"/>
    <w:rsid w:val="007849B9"/>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0F39"/>
    <w:rsid w:val="007910BB"/>
    <w:rsid w:val="007913BF"/>
    <w:rsid w:val="007916BF"/>
    <w:rsid w:val="00791902"/>
    <w:rsid w:val="00791E12"/>
    <w:rsid w:val="00791F08"/>
    <w:rsid w:val="0079210B"/>
    <w:rsid w:val="007921C5"/>
    <w:rsid w:val="007921CD"/>
    <w:rsid w:val="00792671"/>
    <w:rsid w:val="007927FD"/>
    <w:rsid w:val="00792833"/>
    <w:rsid w:val="007928A5"/>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118"/>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1CC8"/>
    <w:rsid w:val="007B2110"/>
    <w:rsid w:val="007B2468"/>
    <w:rsid w:val="007B2996"/>
    <w:rsid w:val="007B2B2F"/>
    <w:rsid w:val="007B2BDF"/>
    <w:rsid w:val="007B2F6E"/>
    <w:rsid w:val="007B34AA"/>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357"/>
    <w:rsid w:val="007B65EC"/>
    <w:rsid w:val="007B669F"/>
    <w:rsid w:val="007B67FA"/>
    <w:rsid w:val="007B6926"/>
    <w:rsid w:val="007B6B24"/>
    <w:rsid w:val="007B7083"/>
    <w:rsid w:val="007B7654"/>
    <w:rsid w:val="007B7926"/>
    <w:rsid w:val="007B7F00"/>
    <w:rsid w:val="007C0231"/>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5FDC"/>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8D5"/>
    <w:rsid w:val="007D0E88"/>
    <w:rsid w:val="007D145A"/>
    <w:rsid w:val="007D17E9"/>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0F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2C8"/>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CFD"/>
    <w:rsid w:val="007E4E38"/>
    <w:rsid w:val="007E505C"/>
    <w:rsid w:val="007E5679"/>
    <w:rsid w:val="007E5740"/>
    <w:rsid w:val="007E57C9"/>
    <w:rsid w:val="007E5DB0"/>
    <w:rsid w:val="007E6007"/>
    <w:rsid w:val="007E6254"/>
    <w:rsid w:val="007E63B4"/>
    <w:rsid w:val="007E6475"/>
    <w:rsid w:val="007E64E4"/>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080"/>
    <w:rsid w:val="00802117"/>
    <w:rsid w:val="00802637"/>
    <w:rsid w:val="0080295C"/>
    <w:rsid w:val="00802A1C"/>
    <w:rsid w:val="00802AF0"/>
    <w:rsid w:val="00802B51"/>
    <w:rsid w:val="00802BD3"/>
    <w:rsid w:val="00802C0E"/>
    <w:rsid w:val="008031ED"/>
    <w:rsid w:val="00803454"/>
    <w:rsid w:val="008034EC"/>
    <w:rsid w:val="0080356A"/>
    <w:rsid w:val="00803748"/>
    <w:rsid w:val="00803A7D"/>
    <w:rsid w:val="00803E84"/>
    <w:rsid w:val="008044BB"/>
    <w:rsid w:val="00804907"/>
    <w:rsid w:val="00804E04"/>
    <w:rsid w:val="00804E32"/>
    <w:rsid w:val="00804F32"/>
    <w:rsid w:val="008058E8"/>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A72"/>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513"/>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2FD"/>
    <w:rsid w:val="008213DF"/>
    <w:rsid w:val="00821A89"/>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27E75"/>
    <w:rsid w:val="008300ED"/>
    <w:rsid w:val="008300F6"/>
    <w:rsid w:val="00830215"/>
    <w:rsid w:val="008305E5"/>
    <w:rsid w:val="0083062F"/>
    <w:rsid w:val="00830867"/>
    <w:rsid w:val="00830B83"/>
    <w:rsid w:val="00830CF1"/>
    <w:rsid w:val="00830E67"/>
    <w:rsid w:val="00830F76"/>
    <w:rsid w:val="00831456"/>
    <w:rsid w:val="00831825"/>
    <w:rsid w:val="00831A96"/>
    <w:rsid w:val="00831BAB"/>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697"/>
    <w:rsid w:val="00841E9B"/>
    <w:rsid w:val="008420D1"/>
    <w:rsid w:val="00842126"/>
    <w:rsid w:val="0084221A"/>
    <w:rsid w:val="00842571"/>
    <w:rsid w:val="008429FE"/>
    <w:rsid w:val="00842B3F"/>
    <w:rsid w:val="00842DBF"/>
    <w:rsid w:val="008437CC"/>
    <w:rsid w:val="00844057"/>
    <w:rsid w:val="00844420"/>
    <w:rsid w:val="0084450F"/>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424"/>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AA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BF7"/>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4FA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A4E"/>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029"/>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0A8"/>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8E3"/>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1EC0"/>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E7D66"/>
    <w:rsid w:val="008F010A"/>
    <w:rsid w:val="008F01AB"/>
    <w:rsid w:val="008F0201"/>
    <w:rsid w:val="008F0694"/>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8D8"/>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43F"/>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C45"/>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32E"/>
    <w:rsid w:val="00913C9A"/>
    <w:rsid w:val="00913FF0"/>
    <w:rsid w:val="0091403F"/>
    <w:rsid w:val="009140EA"/>
    <w:rsid w:val="00914981"/>
    <w:rsid w:val="00914988"/>
    <w:rsid w:val="00914C64"/>
    <w:rsid w:val="00914CD4"/>
    <w:rsid w:val="0091593D"/>
    <w:rsid w:val="00915D74"/>
    <w:rsid w:val="00915ECE"/>
    <w:rsid w:val="009162FF"/>
    <w:rsid w:val="0091633D"/>
    <w:rsid w:val="009168DB"/>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61"/>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971"/>
    <w:rsid w:val="00936C76"/>
    <w:rsid w:val="00936C94"/>
    <w:rsid w:val="00936FEC"/>
    <w:rsid w:val="00937116"/>
    <w:rsid w:val="00937256"/>
    <w:rsid w:val="00937973"/>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24"/>
    <w:rsid w:val="009429F4"/>
    <w:rsid w:val="00943242"/>
    <w:rsid w:val="00943295"/>
    <w:rsid w:val="00943529"/>
    <w:rsid w:val="0094385A"/>
    <w:rsid w:val="00943953"/>
    <w:rsid w:val="00943C99"/>
    <w:rsid w:val="00943C9C"/>
    <w:rsid w:val="00944120"/>
    <w:rsid w:val="009444B9"/>
    <w:rsid w:val="009445EE"/>
    <w:rsid w:val="00944C9D"/>
    <w:rsid w:val="00944FBA"/>
    <w:rsid w:val="009450FB"/>
    <w:rsid w:val="00945241"/>
    <w:rsid w:val="0094551E"/>
    <w:rsid w:val="00945554"/>
    <w:rsid w:val="009456BF"/>
    <w:rsid w:val="00945ABE"/>
    <w:rsid w:val="00945E18"/>
    <w:rsid w:val="00945F24"/>
    <w:rsid w:val="0094603F"/>
    <w:rsid w:val="0094665D"/>
    <w:rsid w:val="009466A0"/>
    <w:rsid w:val="0094674A"/>
    <w:rsid w:val="009469E4"/>
    <w:rsid w:val="00947126"/>
    <w:rsid w:val="0094761C"/>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7BC"/>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4F6"/>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3AE6"/>
    <w:rsid w:val="00974429"/>
    <w:rsid w:val="009748F6"/>
    <w:rsid w:val="00974A19"/>
    <w:rsid w:val="009758CD"/>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71C"/>
    <w:rsid w:val="00983F83"/>
    <w:rsid w:val="009841BC"/>
    <w:rsid w:val="009842F8"/>
    <w:rsid w:val="00984A37"/>
    <w:rsid w:val="00984CBB"/>
    <w:rsid w:val="00985538"/>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8D2"/>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DEB"/>
    <w:rsid w:val="009A2FEB"/>
    <w:rsid w:val="009A3003"/>
    <w:rsid w:val="009A315F"/>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577"/>
    <w:rsid w:val="009A66A9"/>
    <w:rsid w:val="009A66C8"/>
    <w:rsid w:val="009A6713"/>
    <w:rsid w:val="009A6B89"/>
    <w:rsid w:val="009A6C0C"/>
    <w:rsid w:val="009A6CFE"/>
    <w:rsid w:val="009A73B4"/>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2D0A"/>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BF7"/>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1F63"/>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4DAB"/>
    <w:rsid w:val="009C5053"/>
    <w:rsid w:val="009C5129"/>
    <w:rsid w:val="009C51C7"/>
    <w:rsid w:val="009C51D0"/>
    <w:rsid w:val="009C52E5"/>
    <w:rsid w:val="009C5BE5"/>
    <w:rsid w:val="009C5FB8"/>
    <w:rsid w:val="009C6070"/>
    <w:rsid w:val="009C63C6"/>
    <w:rsid w:val="009C6738"/>
    <w:rsid w:val="009C6B32"/>
    <w:rsid w:val="009C6E5E"/>
    <w:rsid w:val="009C71FF"/>
    <w:rsid w:val="009C742D"/>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9D5"/>
    <w:rsid w:val="009D7B28"/>
    <w:rsid w:val="009D7B99"/>
    <w:rsid w:val="009D7C40"/>
    <w:rsid w:val="009D7CF6"/>
    <w:rsid w:val="009D7F1D"/>
    <w:rsid w:val="009D7FD4"/>
    <w:rsid w:val="009E00E4"/>
    <w:rsid w:val="009E036E"/>
    <w:rsid w:val="009E0485"/>
    <w:rsid w:val="009E0647"/>
    <w:rsid w:val="009E0671"/>
    <w:rsid w:val="009E089C"/>
    <w:rsid w:val="009E0BF9"/>
    <w:rsid w:val="009E0C75"/>
    <w:rsid w:val="009E0F24"/>
    <w:rsid w:val="009E1184"/>
    <w:rsid w:val="009E126B"/>
    <w:rsid w:val="009E1870"/>
    <w:rsid w:val="009E2226"/>
    <w:rsid w:val="009E2333"/>
    <w:rsid w:val="009E2492"/>
    <w:rsid w:val="009E2544"/>
    <w:rsid w:val="009E2563"/>
    <w:rsid w:val="009E2993"/>
    <w:rsid w:val="009E2EFB"/>
    <w:rsid w:val="009E31F8"/>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81A"/>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52B"/>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8E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1A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5D2C"/>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2A2"/>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99"/>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A89"/>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3F"/>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5FC"/>
    <w:rsid w:val="00A467E8"/>
    <w:rsid w:val="00A46AAF"/>
    <w:rsid w:val="00A470B8"/>
    <w:rsid w:val="00A471EC"/>
    <w:rsid w:val="00A47346"/>
    <w:rsid w:val="00A47A63"/>
    <w:rsid w:val="00A47AB7"/>
    <w:rsid w:val="00A47B1E"/>
    <w:rsid w:val="00A47D4C"/>
    <w:rsid w:val="00A47DC6"/>
    <w:rsid w:val="00A47F2D"/>
    <w:rsid w:val="00A5022D"/>
    <w:rsid w:val="00A50402"/>
    <w:rsid w:val="00A5048E"/>
    <w:rsid w:val="00A506B2"/>
    <w:rsid w:val="00A506CB"/>
    <w:rsid w:val="00A50EC1"/>
    <w:rsid w:val="00A5137A"/>
    <w:rsid w:val="00A517EF"/>
    <w:rsid w:val="00A51A4A"/>
    <w:rsid w:val="00A51AF3"/>
    <w:rsid w:val="00A51C23"/>
    <w:rsid w:val="00A51D75"/>
    <w:rsid w:val="00A51EF6"/>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36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00C"/>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6FCA"/>
    <w:rsid w:val="00A77328"/>
    <w:rsid w:val="00A7751E"/>
    <w:rsid w:val="00A778D5"/>
    <w:rsid w:val="00A77925"/>
    <w:rsid w:val="00A779AD"/>
    <w:rsid w:val="00A77C97"/>
    <w:rsid w:val="00A77FDD"/>
    <w:rsid w:val="00A80252"/>
    <w:rsid w:val="00A80568"/>
    <w:rsid w:val="00A80745"/>
    <w:rsid w:val="00A80A59"/>
    <w:rsid w:val="00A80C22"/>
    <w:rsid w:val="00A80E11"/>
    <w:rsid w:val="00A811AE"/>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0DF"/>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8E"/>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895"/>
    <w:rsid w:val="00AC4C18"/>
    <w:rsid w:val="00AC5011"/>
    <w:rsid w:val="00AC5320"/>
    <w:rsid w:val="00AC558A"/>
    <w:rsid w:val="00AC56E6"/>
    <w:rsid w:val="00AC574F"/>
    <w:rsid w:val="00AC5812"/>
    <w:rsid w:val="00AC58F8"/>
    <w:rsid w:val="00AC594D"/>
    <w:rsid w:val="00AC5996"/>
    <w:rsid w:val="00AC5DF8"/>
    <w:rsid w:val="00AC5ED1"/>
    <w:rsid w:val="00AC5F86"/>
    <w:rsid w:val="00AC6214"/>
    <w:rsid w:val="00AC6579"/>
    <w:rsid w:val="00AC692D"/>
    <w:rsid w:val="00AC6E80"/>
    <w:rsid w:val="00AC758A"/>
    <w:rsid w:val="00AC773C"/>
    <w:rsid w:val="00AC7D84"/>
    <w:rsid w:val="00AC7DFD"/>
    <w:rsid w:val="00AC7F09"/>
    <w:rsid w:val="00AD0008"/>
    <w:rsid w:val="00AD0332"/>
    <w:rsid w:val="00AD0626"/>
    <w:rsid w:val="00AD08B4"/>
    <w:rsid w:val="00AD1112"/>
    <w:rsid w:val="00AD11CF"/>
    <w:rsid w:val="00AD1B9A"/>
    <w:rsid w:val="00AD1D52"/>
    <w:rsid w:val="00AD1F18"/>
    <w:rsid w:val="00AD1F8C"/>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80"/>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665"/>
    <w:rsid w:val="00AE27D9"/>
    <w:rsid w:val="00AE2888"/>
    <w:rsid w:val="00AE28C4"/>
    <w:rsid w:val="00AE2928"/>
    <w:rsid w:val="00AE2C38"/>
    <w:rsid w:val="00AE2E03"/>
    <w:rsid w:val="00AE2FFD"/>
    <w:rsid w:val="00AE3126"/>
    <w:rsid w:val="00AE3233"/>
    <w:rsid w:val="00AE3265"/>
    <w:rsid w:val="00AE33FC"/>
    <w:rsid w:val="00AE344F"/>
    <w:rsid w:val="00AE34F7"/>
    <w:rsid w:val="00AE372A"/>
    <w:rsid w:val="00AE396C"/>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89F"/>
    <w:rsid w:val="00AF1958"/>
    <w:rsid w:val="00AF1DDD"/>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3DA"/>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895"/>
    <w:rsid w:val="00B0291B"/>
    <w:rsid w:val="00B03B51"/>
    <w:rsid w:val="00B03B9C"/>
    <w:rsid w:val="00B0405A"/>
    <w:rsid w:val="00B04230"/>
    <w:rsid w:val="00B04842"/>
    <w:rsid w:val="00B0495E"/>
    <w:rsid w:val="00B05264"/>
    <w:rsid w:val="00B054BB"/>
    <w:rsid w:val="00B05546"/>
    <w:rsid w:val="00B05615"/>
    <w:rsid w:val="00B05BB1"/>
    <w:rsid w:val="00B05D5A"/>
    <w:rsid w:val="00B05F03"/>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2FEC"/>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8DB"/>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0FCA"/>
    <w:rsid w:val="00B21171"/>
    <w:rsid w:val="00B21228"/>
    <w:rsid w:val="00B21753"/>
    <w:rsid w:val="00B21DFF"/>
    <w:rsid w:val="00B21E53"/>
    <w:rsid w:val="00B22239"/>
    <w:rsid w:val="00B22241"/>
    <w:rsid w:val="00B2241B"/>
    <w:rsid w:val="00B225ED"/>
    <w:rsid w:val="00B2282A"/>
    <w:rsid w:val="00B22EC1"/>
    <w:rsid w:val="00B230BB"/>
    <w:rsid w:val="00B231F1"/>
    <w:rsid w:val="00B23253"/>
    <w:rsid w:val="00B239B6"/>
    <w:rsid w:val="00B23E92"/>
    <w:rsid w:val="00B23F3B"/>
    <w:rsid w:val="00B2416A"/>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72F"/>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7A9"/>
    <w:rsid w:val="00B618CA"/>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67BAC"/>
    <w:rsid w:val="00B70081"/>
    <w:rsid w:val="00B702C8"/>
    <w:rsid w:val="00B7032F"/>
    <w:rsid w:val="00B70546"/>
    <w:rsid w:val="00B707DD"/>
    <w:rsid w:val="00B70E77"/>
    <w:rsid w:val="00B70ED0"/>
    <w:rsid w:val="00B711D5"/>
    <w:rsid w:val="00B7184B"/>
    <w:rsid w:val="00B71A75"/>
    <w:rsid w:val="00B71C38"/>
    <w:rsid w:val="00B71E4C"/>
    <w:rsid w:val="00B722EA"/>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B24"/>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891"/>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7E9"/>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2E3"/>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6BD"/>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93C"/>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4A4"/>
    <w:rsid w:val="00BD0A65"/>
    <w:rsid w:val="00BD189C"/>
    <w:rsid w:val="00BD1968"/>
    <w:rsid w:val="00BD19E8"/>
    <w:rsid w:val="00BD1A6A"/>
    <w:rsid w:val="00BD1ACF"/>
    <w:rsid w:val="00BD1F3D"/>
    <w:rsid w:val="00BD2187"/>
    <w:rsid w:val="00BD22D7"/>
    <w:rsid w:val="00BD22E9"/>
    <w:rsid w:val="00BD2668"/>
    <w:rsid w:val="00BD2671"/>
    <w:rsid w:val="00BD26A6"/>
    <w:rsid w:val="00BD2A2C"/>
    <w:rsid w:val="00BD3261"/>
    <w:rsid w:val="00BD3283"/>
    <w:rsid w:val="00BD3406"/>
    <w:rsid w:val="00BD36D3"/>
    <w:rsid w:val="00BD3EE0"/>
    <w:rsid w:val="00BD3EF2"/>
    <w:rsid w:val="00BD4117"/>
    <w:rsid w:val="00BD436E"/>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640"/>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DC8"/>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3A8"/>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485"/>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66"/>
    <w:rsid w:val="00C01CD7"/>
    <w:rsid w:val="00C01DD2"/>
    <w:rsid w:val="00C01F49"/>
    <w:rsid w:val="00C01F8E"/>
    <w:rsid w:val="00C02538"/>
    <w:rsid w:val="00C02716"/>
    <w:rsid w:val="00C02CD3"/>
    <w:rsid w:val="00C02D38"/>
    <w:rsid w:val="00C02ED7"/>
    <w:rsid w:val="00C032EF"/>
    <w:rsid w:val="00C036E4"/>
    <w:rsid w:val="00C03751"/>
    <w:rsid w:val="00C0399C"/>
    <w:rsid w:val="00C03C24"/>
    <w:rsid w:val="00C03C29"/>
    <w:rsid w:val="00C03D07"/>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005"/>
    <w:rsid w:val="00C16424"/>
    <w:rsid w:val="00C1664B"/>
    <w:rsid w:val="00C167BE"/>
    <w:rsid w:val="00C16A6D"/>
    <w:rsid w:val="00C16AA6"/>
    <w:rsid w:val="00C1798A"/>
    <w:rsid w:val="00C179AC"/>
    <w:rsid w:val="00C17A28"/>
    <w:rsid w:val="00C17E94"/>
    <w:rsid w:val="00C200A7"/>
    <w:rsid w:val="00C2034C"/>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428"/>
    <w:rsid w:val="00C24971"/>
    <w:rsid w:val="00C24FC0"/>
    <w:rsid w:val="00C24FDC"/>
    <w:rsid w:val="00C25136"/>
    <w:rsid w:val="00C25599"/>
    <w:rsid w:val="00C25882"/>
    <w:rsid w:val="00C25ABF"/>
    <w:rsid w:val="00C25B54"/>
    <w:rsid w:val="00C25E28"/>
    <w:rsid w:val="00C25F2E"/>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9C2"/>
    <w:rsid w:val="00C32A2E"/>
    <w:rsid w:val="00C32DE6"/>
    <w:rsid w:val="00C32EDB"/>
    <w:rsid w:val="00C32F03"/>
    <w:rsid w:val="00C32FF4"/>
    <w:rsid w:val="00C3312D"/>
    <w:rsid w:val="00C33166"/>
    <w:rsid w:val="00C33592"/>
    <w:rsid w:val="00C33B04"/>
    <w:rsid w:val="00C33B71"/>
    <w:rsid w:val="00C341C0"/>
    <w:rsid w:val="00C345DD"/>
    <w:rsid w:val="00C347E5"/>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A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5F3E"/>
    <w:rsid w:val="00C5626B"/>
    <w:rsid w:val="00C56346"/>
    <w:rsid w:val="00C56637"/>
    <w:rsid w:val="00C56771"/>
    <w:rsid w:val="00C5697F"/>
    <w:rsid w:val="00C56DF0"/>
    <w:rsid w:val="00C57206"/>
    <w:rsid w:val="00C57794"/>
    <w:rsid w:val="00C57991"/>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CC5"/>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041"/>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12"/>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0F0"/>
    <w:rsid w:val="00C8346F"/>
    <w:rsid w:val="00C839AC"/>
    <w:rsid w:val="00C83F65"/>
    <w:rsid w:val="00C840EF"/>
    <w:rsid w:val="00C845F2"/>
    <w:rsid w:val="00C8477A"/>
    <w:rsid w:val="00C84C02"/>
    <w:rsid w:val="00C84F07"/>
    <w:rsid w:val="00C84F5B"/>
    <w:rsid w:val="00C85E36"/>
    <w:rsid w:val="00C86379"/>
    <w:rsid w:val="00C8662F"/>
    <w:rsid w:val="00C8667D"/>
    <w:rsid w:val="00C866A8"/>
    <w:rsid w:val="00C866E6"/>
    <w:rsid w:val="00C86CD4"/>
    <w:rsid w:val="00C86E8F"/>
    <w:rsid w:val="00C86EB9"/>
    <w:rsid w:val="00C870A4"/>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4C6"/>
    <w:rsid w:val="00C925FC"/>
    <w:rsid w:val="00C92607"/>
    <w:rsid w:val="00C92D9F"/>
    <w:rsid w:val="00C92FA5"/>
    <w:rsid w:val="00C9312D"/>
    <w:rsid w:val="00C93326"/>
    <w:rsid w:val="00C9352C"/>
    <w:rsid w:val="00C93717"/>
    <w:rsid w:val="00C9375F"/>
    <w:rsid w:val="00C938FC"/>
    <w:rsid w:val="00C93CCC"/>
    <w:rsid w:val="00C9407E"/>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841"/>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70C"/>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5DF"/>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15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7A0"/>
    <w:rsid w:val="00CE2BAE"/>
    <w:rsid w:val="00CE2E31"/>
    <w:rsid w:val="00CE2F72"/>
    <w:rsid w:val="00CE2F79"/>
    <w:rsid w:val="00CE3A50"/>
    <w:rsid w:val="00CE3C4B"/>
    <w:rsid w:val="00CE41FF"/>
    <w:rsid w:val="00CE429A"/>
    <w:rsid w:val="00CE4AD8"/>
    <w:rsid w:val="00CE5288"/>
    <w:rsid w:val="00CE5579"/>
    <w:rsid w:val="00CE560A"/>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884"/>
    <w:rsid w:val="00CF3D6D"/>
    <w:rsid w:val="00CF4132"/>
    <w:rsid w:val="00CF4B43"/>
    <w:rsid w:val="00CF4E71"/>
    <w:rsid w:val="00CF4F1F"/>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50A"/>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4B6"/>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698"/>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5A9"/>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37FBE"/>
    <w:rsid w:val="00D40080"/>
    <w:rsid w:val="00D40105"/>
    <w:rsid w:val="00D40112"/>
    <w:rsid w:val="00D40491"/>
    <w:rsid w:val="00D40DFE"/>
    <w:rsid w:val="00D41405"/>
    <w:rsid w:val="00D41923"/>
    <w:rsid w:val="00D41DC6"/>
    <w:rsid w:val="00D41F11"/>
    <w:rsid w:val="00D420C2"/>
    <w:rsid w:val="00D42474"/>
    <w:rsid w:val="00D42DBE"/>
    <w:rsid w:val="00D4317F"/>
    <w:rsid w:val="00D4370C"/>
    <w:rsid w:val="00D43809"/>
    <w:rsid w:val="00D438C1"/>
    <w:rsid w:val="00D43AA4"/>
    <w:rsid w:val="00D43AD6"/>
    <w:rsid w:val="00D43E3E"/>
    <w:rsid w:val="00D4415E"/>
    <w:rsid w:val="00D441D1"/>
    <w:rsid w:val="00D44258"/>
    <w:rsid w:val="00D4449A"/>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44A"/>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91E"/>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820"/>
    <w:rsid w:val="00D679E3"/>
    <w:rsid w:val="00D67A48"/>
    <w:rsid w:val="00D67DC0"/>
    <w:rsid w:val="00D702B7"/>
    <w:rsid w:val="00D708F5"/>
    <w:rsid w:val="00D70BC7"/>
    <w:rsid w:val="00D70E3C"/>
    <w:rsid w:val="00D70F3E"/>
    <w:rsid w:val="00D71675"/>
    <w:rsid w:val="00D7168C"/>
    <w:rsid w:val="00D716E5"/>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A4F"/>
    <w:rsid w:val="00D86C8D"/>
    <w:rsid w:val="00D86CC5"/>
    <w:rsid w:val="00D86EE6"/>
    <w:rsid w:val="00D87187"/>
    <w:rsid w:val="00D87674"/>
    <w:rsid w:val="00D9048B"/>
    <w:rsid w:val="00D905F5"/>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1"/>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5BF5"/>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5D3"/>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0C"/>
    <w:rsid w:val="00DD1F11"/>
    <w:rsid w:val="00DD23F7"/>
    <w:rsid w:val="00DD24BA"/>
    <w:rsid w:val="00DD24D3"/>
    <w:rsid w:val="00DD268C"/>
    <w:rsid w:val="00DD269A"/>
    <w:rsid w:val="00DD2811"/>
    <w:rsid w:val="00DD353F"/>
    <w:rsid w:val="00DD35E5"/>
    <w:rsid w:val="00DD3BD7"/>
    <w:rsid w:val="00DD3D4E"/>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74C"/>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634"/>
    <w:rsid w:val="00E0281C"/>
    <w:rsid w:val="00E02B0C"/>
    <w:rsid w:val="00E02C0F"/>
    <w:rsid w:val="00E02F09"/>
    <w:rsid w:val="00E02F82"/>
    <w:rsid w:val="00E02FE0"/>
    <w:rsid w:val="00E032A9"/>
    <w:rsid w:val="00E035D4"/>
    <w:rsid w:val="00E03688"/>
    <w:rsid w:val="00E0384F"/>
    <w:rsid w:val="00E0389B"/>
    <w:rsid w:val="00E039F7"/>
    <w:rsid w:val="00E03C42"/>
    <w:rsid w:val="00E03DAD"/>
    <w:rsid w:val="00E0439D"/>
    <w:rsid w:val="00E043A9"/>
    <w:rsid w:val="00E0463E"/>
    <w:rsid w:val="00E0488D"/>
    <w:rsid w:val="00E04997"/>
    <w:rsid w:val="00E04EE7"/>
    <w:rsid w:val="00E04F60"/>
    <w:rsid w:val="00E05004"/>
    <w:rsid w:val="00E05778"/>
    <w:rsid w:val="00E05AFB"/>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31A"/>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261"/>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DC5"/>
    <w:rsid w:val="00E26E80"/>
    <w:rsid w:val="00E2710A"/>
    <w:rsid w:val="00E273C2"/>
    <w:rsid w:val="00E27428"/>
    <w:rsid w:val="00E275D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75A"/>
    <w:rsid w:val="00E44848"/>
    <w:rsid w:val="00E44CFF"/>
    <w:rsid w:val="00E44E2A"/>
    <w:rsid w:val="00E451AD"/>
    <w:rsid w:val="00E451DF"/>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C9"/>
    <w:rsid w:val="00E513D8"/>
    <w:rsid w:val="00E51446"/>
    <w:rsid w:val="00E51883"/>
    <w:rsid w:val="00E51C96"/>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67F6D"/>
    <w:rsid w:val="00E70167"/>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5C1"/>
    <w:rsid w:val="00E73CED"/>
    <w:rsid w:val="00E73D70"/>
    <w:rsid w:val="00E74813"/>
    <w:rsid w:val="00E74AA1"/>
    <w:rsid w:val="00E74EE5"/>
    <w:rsid w:val="00E750CC"/>
    <w:rsid w:val="00E75151"/>
    <w:rsid w:val="00E75730"/>
    <w:rsid w:val="00E75A54"/>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3E77"/>
    <w:rsid w:val="00E83FAB"/>
    <w:rsid w:val="00E84293"/>
    <w:rsid w:val="00E843F4"/>
    <w:rsid w:val="00E8481D"/>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3ECF"/>
    <w:rsid w:val="00E9413E"/>
    <w:rsid w:val="00E943B5"/>
    <w:rsid w:val="00E943E4"/>
    <w:rsid w:val="00E944FC"/>
    <w:rsid w:val="00E9495E"/>
    <w:rsid w:val="00E94B35"/>
    <w:rsid w:val="00E94C08"/>
    <w:rsid w:val="00E94D16"/>
    <w:rsid w:val="00E94F15"/>
    <w:rsid w:val="00E9527E"/>
    <w:rsid w:val="00E953A2"/>
    <w:rsid w:val="00E956A6"/>
    <w:rsid w:val="00E95899"/>
    <w:rsid w:val="00E9589F"/>
    <w:rsid w:val="00E959B1"/>
    <w:rsid w:val="00E95AD4"/>
    <w:rsid w:val="00E95B9A"/>
    <w:rsid w:val="00E960A1"/>
    <w:rsid w:val="00E960CB"/>
    <w:rsid w:val="00E961A2"/>
    <w:rsid w:val="00E96349"/>
    <w:rsid w:val="00E964D1"/>
    <w:rsid w:val="00E969A6"/>
    <w:rsid w:val="00E96B12"/>
    <w:rsid w:val="00E96D73"/>
    <w:rsid w:val="00E96FA1"/>
    <w:rsid w:val="00E978DF"/>
    <w:rsid w:val="00E978EC"/>
    <w:rsid w:val="00E97B9B"/>
    <w:rsid w:val="00EA00B1"/>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53C"/>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87"/>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2D6"/>
    <w:rsid w:val="00EE3493"/>
    <w:rsid w:val="00EE3CCB"/>
    <w:rsid w:val="00EE3CDF"/>
    <w:rsid w:val="00EE3D4B"/>
    <w:rsid w:val="00EE4040"/>
    <w:rsid w:val="00EE42B7"/>
    <w:rsid w:val="00EE4B7F"/>
    <w:rsid w:val="00EE4B91"/>
    <w:rsid w:val="00EE4C38"/>
    <w:rsid w:val="00EE4D15"/>
    <w:rsid w:val="00EE5205"/>
    <w:rsid w:val="00EE5538"/>
    <w:rsid w:val="00EE59ED"/>
    <w:rsid w:val="00EE5A87"/>
    <w:rsid w:val="00EE5B0D"/>
    <w:rsid w:val="00EE5B30"/>
    <w:rsid w:val="00EE6305"/>
    <w:rsid w:val="00EE65C8"/>
    <w:rsid w:val="00EE66F2"/>
    <w:rsid w:val="00EE686C"/>
    <w:rsid w:val="00EE69F1"/>
    <w:rsid w:val="00EE6CD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19"/>
    <w:rsid w:val="00F01D3B"/>
    <w:rsid w:val="00F01E12"/>
    <w:rsid w:val="00F022C6"/>
    <w:rsid w:val="00F025A4"/>
    <w:rsid w:val="00F0293D"/>
    <w:rsid w:val="00F02B3A"/>
    <w:rsid w:val="00F02B56"/>
    <w:rsid w:val="00F02C44"/>
    <w:rsid w:val="00F02C9C"/>
    <w:rsid w:val="00F02CD1"/>
    <w:rsid w:val="00F02E0B"/>
    <w:rsid w:val="00F030BC"/>
    <w:rsid w:val="00F039F9"/>
    <w:rsid w:val="00F03DDF"/>
    <w:rsid w:val="00F03E13"/>
    <w:rsid w:val="00F03FE2"/>
    <w:rsid w:val="00F04173"/>
    <w:rsid w:val="00F04C25"/>
    <w:rsid w:val="00F0523A"/>
    <w:rsid w:val="00F057A4"/>
    <w:rsid w:val="00F05B5B"/>
    <w:rsid w:val="00F0613D"/>
    <w:rsid w:val="00F063CF"/>
    <w:rsid w:val="00F0646C"/>
    <w:rsid w:val="00F06534"/>
    <w:rsid w:val="00F065B3"/>
    <w:rsid w:val="00F0672F"/>
    <w:rsid w:val="00F06794"/>
    <w:rsid w:val="00F06CFF"/>
    <w:rsid w:val="00F07945"/>
    <w:rsid w:val="00F104B1"/>
    <w:rsid w:val="00F106FA"/>
    <w:rsid w:val="00F10AFD"/>
    <w:rsid w:val="00F10E09"/>
    <w:rsid w:val="00F10F55"/>
    <w:rsid w:val="00F10FB4"/>
    <w:rsid w:val="00F11294"/>
    <w:rsid w:val="00F11371"/>
    <w:rsid w:val="00F115D3"/>
    <w:rsid w:val="00F1169B"/>
    <w:rsid w:val="00F11A2B"/>
    <w:rsid w:val="00F11AA3"/>
    <w:rsid w:val="00F11C6F"/>
    <w:rsid w:val="00F11E5B"/>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7FD"/>
    <w:rsid w:val="00F16C3F"/>
    <w:rsid w:val="00F16F01"/>
    <w:rsid w:val="00F170B6"/>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711"/>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CC"/>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10D"/>
    <w:rsid w:val="00F37EBC"/>
    <w:rsid w:val="00F4052C"/>
    <w:rsid w:val="00F4097F"/>
    <w:rsid w:val="00F40D0B"/>
    <w:rsid w:val="00F40E60"/>
    <w:rsid w:val="00F41069"/>
    <w:rsid w:val="00F41263"/>
    <w:rsid w:val="00F4127A"/>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3CD"/>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014"/>
    <w:rsid w:val="00F67419"/>
    <w:rsid w:val="00F6764E"/>
    <w:rsid w:val="00F67928"/>
    <w:rsid w:val="00F67A01"/>
    <w:rsid w:val="00F7000A"/>
    <w:rsid w:val="00F7042D"/>
    <w:rsid w:val="00F70730"/>
    <w:rsid w:val="00F708B2"/>
    <w:rsid w:val="00F70900"/>
    <w:rsid w:val="00F70B2B"/>
    <w:rsid w:val="00F71311"/>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DE2"/>
    <w:rsid w:val="00F85F8F"/>
    <w:rsid w:val="00F860E1"/>
    <w:rsid w:val="00F86190"/>
    <w:rsid w:val="00F86346"/>
    <w:rsid w:val="00F86572"/>
    <w:rsid w:val="00F866EB"/>
    <w:rsid w:val="00F8685E"/>
    <w:rsid w:val="00F86CFD"/>
    <w:rsid w:val="00F86EAC"/>
    <w:rsid w:val="00F872E1"/>
    <w:rsid w:val="00F87915"/>
    <w:rsid w:val="00F87E7B"/>
    <w:rsid w:val="00F90205"/>
    <w:rsid w:val="00F9037F"/>
    <w:rsid w:val="00F90652"/>
    <w:rsid w:val="00F90698"/>
    <w:rsid w:val="00F90788"/>
    <w:rsid w:val="00F90DE4"/>
    <w:rsid w:val="00F91038"/>
    <w:rsid w:val="00F91742"/>
    <w:rsid w:val="00F9180D"/>
    <w:rsid w:val="00F91B51"/>
    <w:rsid w:val="00F91F18"/>
    <w:rsid w:val="00F922A6"/>
    <w:rsid w:val="00F922C8"/>
    <w:rsid w:val="00F923BA"/>
    <w:rsid w:val="00F92544"/>
    <w:rsid w:val="00F925A8"/>
    <w:rsid w:val="00F925CF"/>
    <w:rsid w:val="00F927E0"/>
    <w:rsid w:val="00F928A5"/>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4C2D"/>
    <w:rsid w:val="00F9545E"/>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41A"/>
    <w:rsid w:val="00FA75BF"/>
    <w:rsid w:val="00FA76B6"/>
    <w:rsid w:val="00FA7B85"/>
    <w:rsid w:val="00FB01B0"/>
    <w:rsid w:val="00FB04E9"/>
    <w:rsid w:val="00FB05DD"/>
    <w:rsid w:val="00FB0A3C"/>
    <w:rsid w:val="00FB0C18"/>
    <w:rsid w:val="00FB0F41"/>
    <w:rsid w:val="00FB1380"/>
    <w:rsid w:val="00FB152D"/>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0D96"/>
    <w:rsid w:val="00FC1376"/>
    <w:rsid w:val="00FC1563"/>
    <w:rsid w:val="00FC1645"/>
    <w:rsid w:val="00FC1CBA"/>
    <w:rsid w:val="00FC1F69"/>
    <w:rsid w:val="00FC2079"/>
    <w:rsid w:val="00FC219D"/>
    <w:rsid w:val="00FC24C3"/>
    <w:rsid w:val="00FC26CF"/>
    <w:rsid w:val="00FC2CAD"/>
    <w:rsid w:val="00FC2CB2"/>
    <w:rsid w:val="00FC2F26"/>
    <w:rsid w:val="00FC335D"/>
    <w:rsid w:val="00FC38BA"/>
    <w:rsid w:val="00FC38F4"/>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351"/>
    <w:rsid w:val="00FD45C8"/>
    <w:rsid w:val="00FD460B"/>
    <w:rsid w:val="00FD461E"/>
    <w:rsid w:val="00FD46BC"/>
    <w:rsid w:val="00FD46C5"/>
    <w:rsid w:val="00FD4710"/>
    <w:rsid w:val="00FD4852"/>
    <w:rsid w:val="00FD4B0B"/>
    <w:rsid w:val="00FD4B9F"/>
    <w:rsid w:val="00FD500B"/>
    <w:rsid w:val="00FD5148"/>
    <w:rsid w:val="00FD562E"/>
    <w:rsid w:val="00FD596D"/>
    <w:rsid w:val="00FD5D12"/>
    <w:rsid w:val="00FD5F10"/>
    <w:rsid w:val="00FD60C5"/>
    <w:rsid w:val="00FD67B4"/>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40A"/>
    <w:rsid w:val="00FE66C2"/>
    <w:rsid w:val="00FE688E"/>
    <w:rsid w:val="00FE697D"/>
    <w:rsid w:val="00FE6F1A"/>
    <w:rsid w:val="00FE77FE"/>
    <w:rsid w:val="00FE7928"/>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0"/>
    <w:rsid w:val="00FF7DFE"/>
    <w:rsid w:val="00FF7F25"/>
    <w:rsid w:val="010A076E"/>
    <w:rsid w:val="011E0CA1"/>
    <w:rsid w:val="01254A28"/>
    <w:rsid w:val="014455F9"/>
    <w:rsid w:val="017043DD"/>
    <w:rsid w:val="0175590C"/>
    <w:rsid w:val="01A218AD"/>
    <w:rsid w:val="01C04B91"/>
    <w:rsid w:val="01E32E6A"/>
    <w:rsid w:val="023F038C"/>
    <w:rsid w:val="0269688F"/>
    <w:rsid w:val="029D006C"/>
    <w:rsid w:val="02CF7F8E"/>
    <w:rsid w:val="02F91C61"/>
    <w:rsid w:val="031C456A"/>
    <w:rsid w:val="034314F3"/>
    <w:rsid w:val="035A2D91"/>
    <w:rsid w:val="03E11197"/>
    <w:rsid w:val="03F3554F"/>
    <w:rsid w:val="03F36C24"/>
    <w:rsid w:val="03FA589A"/>
    <w:rsid w:val="040C32A8"/>
    <w:rsid w:val="041A5AF7"/>
    <w:rsid w:val="04BD3046"/>
    <w:rsid w:val="04E222CA"/>
    <w:rsid w:val="04E23B19"/>
    <w:rsid w:val="05273492"/>
    <w:rsid w:val="055F7F29"/>
    <w:rsid w:val="05C27C8C"/>
    <w:rsid w:val="06134263"/>
    <w:rsid w:val="063A38BA"/>
    <w:rsid w:val="065F0AFE"/>
    <w:rsid w:val="06A62BA1"/>
    <w:rsid w:val="06AD6DBB"/>
    <w:rsid w:val="06D734E2"/>
    <w:rsid w:val="06FE340B"/>
    <w:rsid w:val="07022D84"/>
    <w:rsid w:val="0717277A"/>
    <w:rsid w:val="075060E2"/>
    <w:rsid w:val="075E4618"/>
    <w:rsid w:val="0769664F"/>
    <w:rsid w:val="076B4EDA"/>
    <w:rsid w:val="07757D07"/>
    <w:rsid w:val="07825A77"/>
    <w:rsid w:val="07AA67E4"/>
    <w:rsid w:val="07B77DA0"/>
    <w:rsid w:val="07E94368"/>
    <w:rsid w:val="082F7F09"/>
    <w:rsid w:val="087C1F80"/>
    <w:rsid w:val="0885271B"/>
    <w:rsid w:val="088B1086"/>
    <w:rsid w:val="089F7FEA"/>
    <w:rsid w:val="08B61EB5"/>
    <w:rsid w:val="08B74B3E"/>
    <w:rsid w:val="08D945DB"/>
    <w:rsid w:val="09536A74"/>
    <w:rsid w:val="09651047"/>
    <w:rsid w:val="097A5551"/>
    <w:rsid w:val="09855BE2"/>
    <w:rsid w:val="09B32EC2"/>
    <w:rsid w:val="09F020FF"/>
    <w:rsid w:val="0A36207A"/>
    <w:rsid w:val="0AE442C3"/>
    <w:rsid w:val="0AEE5B88"/>
    <w:rsid w:val="0B0D4E56"/>
    <w:rsid w:val="0B2840F7"/>
    <w:rsid w:val="0B3B565D"/>
    <w:rsid w:val="0B561C0C"/>
    <w:rsid w:val="0BA16115"/>
    <w:rsid w:val="0BB21BB1"/>
    <w:rsid w:val="0BBA3E90"/>
    <w:rsid w:val="0BE57704"/>
    <w:rsid w:val="0C376A21"/>
    <w:rsid w:val="0C4D3004"/>
    <w:rsid w:val="0CA84E01"/>
    <w:rsid w:val="0CB44256"/>
    <w:rsid w:val="0CCB66FC"/>
    <w:rsid w:val="0CCC26B0"/>
    <w:rsid w:val="0CF93852"/>
    <w:rsid w:val="0D204F49"/>
    <w:rsid w:val="0D480369"/>
    <w:rsid w:val="0DD5274D"/>
    <w:rsid w:val="0E0C48A6"/>
    <w:rsid w:val="0E1951E4"/>
    <w:rsid w:val="0E2C5382"/>
    <w:rsid w:val="0E365FEA"/>
    <w:rsid w:val="0E7640A8"/>
    <w:rsid w:val="0EC02BE6"/>
    <w:rsid w:val="0F002870"/>
    <w:rsid w:val="0F433F3F"/>
    <w:rsid w:val="0F512AE4"/>
    <w:rsid w:val="0F974689"/>
    <w:rsid w:val="0FBE1CB2"/>
    <w:rsid w:val="0FD14118"/>
    <w:rsid w:val="10091CA5"/>
    <w:rsid w:val="100C1557"/>
    <w:rsid w:val="10206C98"/>
    <w:rsid w:val="107D33D6"/>
    <w:rsid w:val="108C480D"/>
    <w:rsid w:val="10CB6F40"/>
    <w:rsid w:val="10DB530B"/>
    <w:rsid w:val="10E66C24"/>
    <w:rsid w:val="10EB6FCC"/>
    <w:rsid w:val="110D0587"/>
    <w:rsid w:val="116244A4"/>
    <w:rsid w:val="11A75BA8"/>
    <w:rsid w:val="11AC3D53"/>
    <w:rsid w:val="11B5413C"/>
    <w:rsid w:val="11D65B50"/>
    <w:rsid w:val="11F20572"/>
    <w:rsid w:val="11FD558D"/>
    <w:rsid w:val="12225B65"/>
    <w:rsid w:val="127A5E64"/>
    <w:rsid w:val="12A04A8C"/>
    <w:rsid w:val="12C30776"/>
    <w:rsid w:val="12FD325A"/>
    <w:rsid w:val="131C406C"/>
    <w:rsid w:val="132A58A1"/>
    <w:rsid w:val="135A24DF"/>
    <w:rsid w:val="138A7A95"/>
    <w:rsid w:val="13CC6AC3"/>
    <w:rsid w:val="13E83435"/>
    <w:rsid w:val="14597E11"/>
    <w:rsid w:val="1482587A"/>
    <w:rsid w:val="148713E6"/>
    <w:rsid w:val="14E17706"/>
    <w:rsid w:val="14EE5BE4"/>
    <w:rsid w:val="14FA466D"/>
    <w:rsid w:val="150060D6"/>
    <w:rsid w:val="150E67F1"/>
    <w:rsid w:val="1528363E"/>
    <w:rsid w:val="15346082"/>
    <w:rsid w:val="155A6753"/>
    <w:rsid w:val="157156BF"/>
    <w:rsid w:val="15993FD3"/>
    <w:rsid w:val="16091F83"/>
    <w:rsid w:val="161B1EE1"/>
    <w:rsid w:val="1626369B"/>
    <w:rsid w:val="166B05BC"/>
    <w:rsid w:val="16977C20"/>
    <w:rsid w:val="1699424F"/>
    <w:rsid w:val="17151156"/>
    <w:rsid w:val="172D61FD"/>
    <w:rsid w:val="176704D3"/>
    <w:rsid w:val="177D0887"/>
    <w:rsid w:val="17A110F4"/>
    <w:rsid w:val="17DA1EDB"/>
    <w:rsid w:val="17E611D0"/>
    <w:rsid w:val="18084004"/>
    <w:rsid w:val="18097DA2"/>
    <w:rsid w:val="180B1CB1"/>
    <w:rsid w:val="18210FE9"/>
    <w:rsid w:val="18BB1670"/>
    <w:rsid w:val="18ED093A"/>
    <w:rsid w:val="193405F9"/>
    <w:rsid w:val="195C4F0C"/>
    <w:rsid w:val="19E9440D"/>
    <w:rsid w:val="19F56019"/>
    <w:rsid w:val="1A4F6B5A"/>
    <w:rsid w:val="1A553D43"/>
    <w:rsid w:val="1A563B1D"/>
    <w:rsid w:val="1A611342"/>
    <w:rsid w:val="1AB63435"/>
    <w:rsid w:val="1ACB111F"/>
    <w:rsid w:val="1B033EDD"/>
    <w:rsid w:val="1B552071"/>
    <w:rsid w:val="1B81710F"/>
    <w:rsid w:val="1B82251F"/>
    <w:rsid w:val="1B8C78BA"/>
    <w:rsid w:val="1C251FD6"/>
    <w:rsid w:val="1C964AE7"/>
    <w:rsid w:val="1C986C55"/>
    <w:rsid w:val="1CA61DEA"/>
    <w:rsid w:val="1CEF435C"/>
    <w:rsid w:val="1D1362B7"/>
    <w:rsid w:val="1D44644E"/>
    <w:rsid w:val="1D8B0FBF"/>
    <w:rsid w:val="1D9D5DB3"/>
    <w:rsid w:val="1E3F2038"/>
    <w:rsid w:val="1E42620B"/>
    <w:rsid w:val="1E5B7F42"/>
    <w:rsid w:val="1E6D300F"/>
    <w:rsid w:val="1F0459A1"/>
    <w:rsid w:val="1F087BE7"/>
    <w:rsid w:val="1F333C39"/>
    <w:rsid w:val="1F3B6850"/>
    <w:rsid w:val="1F4E569D"/>
    <w:rsid w:val="1FA56F65"/>
    <w:rsid w:val="1FD6139D"/>
    <w:rsid w:val="1FE31F2A"/>
    <w:rsid w:val="1FE33484"/>
    <w:rsid w:val="201B41F0"/>
    <w:rsid w:val="20433716"/>
    <w:rsid w:val="206609C6"/>
    <w:rsid w:val="20726272"/>
    <w:rsid w:val="20844ACD"/>
    <w:rsid w:val="20A50C21"/>
    <w:rsid w:val="20D35195"/>
    <w:rsid w:val="2133281F"/>
    <w:rsid w:val="216A1C88"/>
    <w:rsid w:val="217631A1"/>
    <w:rsid w:val="21A60491"/>
    <w:rsid w:val="21C45022"/>
    <w:rsid w:val="21D25DC9"/>
    <w:rsid w:val="226203F1"/>
    <w:rsid w:val="226B01B0"/>
    <w:rsid w:val="22705D1D"/>
    <w:rsid w:val="22BA06F8"/>
    <w:rsid w:val="230541AD"/>
    <w:rsid w:val="23375015"/>
    <w:rsid w:val="23407AF3"/>
    <w:rsid w:val="23B03966"/>
    <w:rsid w:val="23B14F1A"/>
    <w:rsid w:val="23D36120"/>
    <w:rsid w:val="23E900D7"/>
    <w:rsid w:val="240E48CD"/>
    <w:rsid w:val="245B03F4"/>
    <w:rsid w:val="24E739CE"/>
    <w:rsid w:val="250A61E7"/>
    <w:rsid w:val="251F3396"/>
    <w:rsid w:val="25262FF7"/>
    <w:rsid w:val="254A702B"/>
    <w:rsid w:val="255502F2"/>
    <w:rsid w:val="259A09AD"/>
    <w:rsid w:val="265905AA"/>
    <w:rsid w:val="26903F1E"/>
    <w:rsid w:val="26972AF0"/>
    <w:rsid w:val="26AF0FA6"/>
    <w:rsid w:val="26D57437"/>
    <w:rsid w:val="26D636E3"/>
    <w:rsid w:val="26DD1394"/>
    <w:rsid w:val="26EE501F"/>
    <w:rsid w:val="27305CA3"/>
    <w:rsid w:val="273F044A"/>
    <w:rsid w:val="27521BBB"/>
    <w:rsid w:val="276203F1"/>
    <w:rsid w:val="27673963"/>
    <w:rsid w:val="276A0AEF"/>
    <w:rsid w:val="278D4EC6"/>
    <w:rsid w:val="27AA279F"/>
    <w:rsid w:val="27C51579"/>
    <w:rsid w:val="27E06EA7"/>
    <w:rsid w:val="28024573"/>
    <w:rsid w:val="280D2622"/>
    <w:rsid w:val="28352E2F"/>
    <w:rsid w:val="283F2875"/>
    <w:rsid w:val="28515B56"/>
    <w:rsid w:val="28925FAE"/>
    <w:rsid w:val="28F33755"/>
    <w:rsid w:val="29121978"/>
    <w:rsid w:val="29B02469"/>
    <w:rsid w:val="29BB2026"/>
    <w:rsid w:val="2A476F4B"/>
    <w:rsid w:val="2A4C0381"/>
    <w:rsid w:val="2A607EB6"/>
    <w:rsid w:val="2AC6341B"/>
    <w:rsid w:val="2B0760A2"/>
    <w:rsid w:val="2B165FD3"/>
    <w:rsid w:val="2B4D3058"/>
    <w:rsid w:val="2B747FBC"/>
    <w:rsid w:val="2B852A53"/>
    <w:rsid w:val="2BC71059"/>
    <w:rsid w:val="2C71254F"/>
    <w:rsid w:val="2C902BF0"/>
    <w:rsid w:val="2C9A2640"/>
    <w:rsid w:val="2CA06056"/>
    <w:rsid w:val="2CBB47BE"/>
    <w:rsid w:val="2CE07732"/>
    <w:rsid w:val="2CE82407"/>
    <w:rsid w:val="2D272E87"/>
    <w:rsid w:val="2D354290"/>
    <w:rsid w:val="2D6A1973"/>
    <w:rsid w:val="2D753490"/>
    <w:rsid w:val="2D7E0488"/>
    <w:rsid w:val="2DAD4247"/>
    <w:rsid w:val="2E340FF9"/>
    <w:rsid w:val="2E49644E"/>
    <w:rsid w:val="2E4B27E4"/>
    <w:rsid w:val="2E6E7587"/>
    <w:rsid w:val="2E7D6426"/>
    <w:rsid w:val="2EA315BC"/>
    <w:rsid w:val="2EA708FA"/>
    <w:rsid w:val="2EC13FC7"/>
    <w:rsid w:val="2ED070FC"/>
    <w:rsid w:val="2ED711B1"/>
    <w:rsid w:val="2EF87CF1"/>
    <w:rsid w:val="2F117B7C"/>
    <w:rsid w:val="2FCE6F6B"/>
    <w:rsid w:val="30122C9F"/>
    <w:rsid w:val="30203302"/>
    <w:rsid w:val="303B7F5A"/>
    <w:rsid w:val="30527FCF"/>
    <w:rsid w:val="30560DEB"/>
    <w:rsid w:val="30905F37"/>
    <w:rsid w:val="309E73AA"/>
    <w:rsid w:val="30C24060"/>
    <w:rsid w:val="30CC76F2"/>
    <w:rsid w:val="30D03380"/>
    <w:rsid w:val="30D734D8"/>
    <w:rsid w:val="30F603C9"/>
    <w:rsid w:val="313C30D3"/>
    <w:rsid w:val="319C7E22"/>
    <w:rsid w:val="31BA28D3"/>
    <w:rsid w:val="31E40892"/>
    <w:rsid w:val="31FB1797"/>
    <w:rsid w:val="322E7E54"/>
    <w:rsid w:val="32425F45"/>
    <w:rsid w:val="32536F0B"/>
    <w:rsid w:val="3257279C"/>
    <w:rsid w:val="32782EB5"/>
    <w:rsid w:val="32A043B0"/>
    <w:rsid w:val="32A0720A"/>
    <w:rsid w:val="32A62664"/>
    <w:rsid w:val="33050CA1"/>
    <w:rsid w:val="331077B7"/>
    <w:rsid w:val="333E1B82"/>
    <w:rsid w:val="33A53431"/>
    <w:rsid w:val="33C109D7"/>
    <w:rsid w:val="33F176D9"/>
    <w:rsid w:val="34023C05"/>
    <w:rsid w:val="341315C0"/>
    <w:rsid w:val="343A3A12"/>
    <w:rsid w:val="344E09D0"/>
    <w:rsid w:val="34500EA7"/>
    <w:rsid w:val="34940E12"/>
    <w:rsid w:val="34D37DB2"/>
    <w:rsid w:val="35036B78"/>
    <w:rsid w:val="35180A32"/>
    <w:rsid w:val="352C2E57"/>
    <w:rsid w:val="35464074"/>
    <w:rsid w:val="3554536F"/>
    <w:rsid w:val="359710DD"/>
    <w:rsid w:val="359E0372"/>
    <w:rsid w:val="35C83626"/>
    <w:rsid w:val="35CB282B"/>
    <w:rsid w:val="35D02726"/>
    <w:rsid w:val="35D54C83"/>
    <w:rsid w:val="35DE4B10"/>
    <w:rsid w:val="36327B73"/>
    <w:rsid w:val="367E5853"/>
    <w:rsid w:val="36AF1DA6"/>
    <w:rsid w:val="36F916B9"/>
    <w:rsid w:val="37264F35"/>
    <w:rsid w:val="372A3E4B"/>
    <w:rsid w:val="37422B49"/>
    <w:rsid w:val="3752017D"/>
    <w:rsid w:val="378E34C8"/>
    <w:rsid w:val="37FB790F"/>
    <w:rsid w:val="383F42AF"/>
    <w:rsid w:val="386D1686"/>
    <w:rsid w:val="39063E2E"/>
    <w:rsid w:val="39140F75"/>
    <w:rsid w:val="39D14550"/>
    <w:rsid w:val="39D40A5E"/>
    <w:rsid w:val="39F73B61"/>
    <w:rsid w:val="3A010A8C"/>
    <w:rsid w:val="3A5A37F4"/>
    <w:rsid w:val="3A9A0587"/>
    <w:rsid w:val="3ACE770D"/>
    <w:rsid w:val="3AD358EA"/>
    <w:rsid w:val="3B4C52CF"/>
    <w:rsid w:val="3B6B3916"/>
    <w:rsid w:val="3BEA4FCE"/>
    <w:rsid w:val="3C2705E0"/>
    <w:rsid w:val="3C9D78F6"/>
    <w:rsid w:val="3CB52021"/>
    <w:rsid w:val="3CC55C9A"/>
    <w:rsid w:val="3CEB65A5"/>
    <w:rsid w:val="3D123C30"/>
    <w:rsid w:val="3D2A4BAF"/>
    <w:rsid w:val="3D3851B0"/>
    <w:rsid w:val="3D91218D"/>
    <w:rsid w:val="3E1A29E9"/>
    <w:rsid w:val="3E432E93"/>
    <w:rsid w:val="3E791AB6"/>
    <w:rsid w:val="3E861D88"/>
    <w:rsid w:val="3EB645EE"/>
    <w:rsid w:val="3F04568A"/>
    <w:rsid w:val="3F0879D6"/>
    <w:rsid w:val="3F24173C"/>
    <w:rsid w:val="3FB13684"/>
    <w:rsid w:val="3FBD08F4"/>
    <w:rsid w:val="409810E7"/>
    <w:rsid w:val="40A35FFF"/>
    <w:rsid w:val="40C413F9"/>
    <w:rsid w:val="412008D4"/>
    <w:rsid w:val="412F7E1B"/>
    <w:rsid w:val="41864517"/>
    <w:rsid w:val="41AB64FB"/>
    <w:rsid w:val="41E634F1"/>
    <w:rsid w:val="41F37F4D"/>
    <w:rsid w:val="42044F00"/>
    <w:rsid w:val="42507DAD"/>
    <w:rsid w:val="42660EA5"/>
    <w:rsid w:val="42A04671"/>
    <w:rsid w:val="42D4569E"/>
    <w:rsid w:val="42D947C3"/>
    <w:rsid w:val="42FA49BF"/>
    <w:rsid w:val="433D1317"/>
    <w:rsid w:val="43813935"/>
    <w:rsid w:val="43ED2271"/>
    <w:rsid w:val="4438416A"/>
    <w:rsid w:val="44581762"/>
    <w:rsid w:val="44830D6C"/>
    <w:rsid w:val="450C1383"/>
    <w:rsid w:val="45165FB0"/>
    <w:rsid w:val="452828B5"/>
    <w:rsid w:val="453E084F"/>
    <w:rsid w:val="45E6424A"/>
    <w:rsid w:val="4623252E"/>
    <w:rsid w:val="46872EE9"/>
    <w:rsid w:val="46A62584"/>
    <w:rsid w:val="46A658B9"/>
    <w:rsid w:val="46A870F6"/>
    <w:rsid w:val="46CF2BD2"/>
    <w:rsid w:val="46E03CDA"/>
    <w:rsid w:val="46FE2A0E"/>
    <w:rsid w:val="46FE402C"/>
    <w:rsid w:val="474F3D1F"/>
    <w:rsid w:val="47FB08BD"/>
    <w:rsid w:val="48030718"/>
    <w:rsid w:val="4807145E"/>
    <w:rsid w:val="48465BDE"/>
    <w:rsid w:val="48657C65"/>
    <w:rsid w:val="48702E86"/>
    <w:rsid w:val="488C5832"/>
    <w:rsid w:val="48B90352"/>
    <w:rsid w:val="48D3084E"/>
    <w:rsid w:val="48E05EF0"/>
    <w:rsid w:val="49072A6A"/>
    <w:rsid w:val="493A4AA6"/>
    <w:rsid w:val="49695898"/>
    <w:rsid w:val="496F4B04"/>
    <w:rsid w:val="49B11E42"/>
    <w:rsid w:val="4A88676A"/>
    <w:rsid w:val="4A916B3F"/>
    <w:rsid w:val="4A98729A"/>
    <w:rsid w:val="4AB21046"/>
    <w:rsid w:val="4AC7560F"/>
    <w:rsid w:val="4AD00D44"/>
    <w:rsid w:val="4AD90656"/>
    <w:rsid w:val="4AF90AB3"/>
    <w:rsid w:val="4B040003"/>
    <w:rsid w:val="4B1568F7"/>
    <w:rsid w:val="4B735132"/>
    <w:rsid w:val="4B8810DB"/>
    <w:rsid w:val="4B933FB5"/>
    <w:rsid w:val="4BA14B89"/>
    <w:rsid w:val="4BCA79AB"/>
    <w:rsid w:val="4BEF0225"/>
    <w:rsid w:val="4BFC7063"/>
    <w:rsid w:val="4C6C2DCD"/>
    <w:rsid w:val="4C7C1BD5"/>
    <w:rsid w:val="4D360492"/>
    <w:rsid w:val="4D516DC4"/>
    <w:rsid w:val="4D5F307F"/>
    <w:rsid w:val="4D66718D"/>
    <w:rsid w:val="4D894399"/>
    <w:rsid w:val="4D8A19DE"/>
    <w:rsid w:val="4DB95690"/>
    <w:rsid w:val="4DC20F2E"/>
    <w:rsid w:val="4DC24B0B"/>
    <w:rsid w:val="4DF01BD0"/>
    <w:rsid w:val="4DF902CC"/>
    <w:rsid w:val="4DFD54D3"/>
    <w:rsid w:val="4E146A2D"/>
    <w:rsid w:val="4E274D75"/>
    <w:rsid w:val="4E3E3682"/>
    <w:rsid w:val="4E4157DA"/>
    <w:rsid w:val="4E58150E"/>
    <w:rsid w:val="4EB023C9"/>
    <w:rsid w:val="4EB46318"/>
    <w:rsid w:val="4EDE6CF8"/>
    <w:rsid w:val="4F3C271A"/>
    <w:rsid w:val="4F666BBB"/>
    <w:rsid w:val="4FB52F70"/>
    <w:rsid w:val="4FF93C17"/>
    <w:rsid w:val="506C02B1"/>
    <w:rsid w:val="509D0C9B"/>
    <w:rsid w:val="50CB4E27"/>
    <w:rsid w:val="50F212E8"/>
    <w:rsid w:val="513874FA"/>
    <w:rsid w:val="51B82B30"/>
    <w:rsid w:val="51CB14D4"/>
    <w:rsid w:val="51CD5C4F"/>
    <w:rsid w:val="52222767"/>
    <w:rsid w:val="52743833"/>
    <w:rsid w:val="528D09F0"/>
    <w:rsid w:val="52AD6B81"/>
    <w:rsid w:val="532D0AA6"/>
    <w:rsid w:val="535149E3"/>
    <w:rsid w:val="535E64DF"/>
    <w:rsid w:val="53E2002C"/>
    <w:rsid w:val="53E7491E"/>
    <w:rsid w:val="53FE7B55"/>
    <w:rsid w:val="54294176"/>
    <w:rsid w:val="548E36FB"/>
    <w:rsid w:val="549D4A24"/>
    <w:rsid w:val="54F10CE9"/>
    <w:rsid w:val="54FF2571"/>
    <w:rsid w:val="553112BA"/>
    <w:rsid w:val="55565CE0"/>
    <w:rsid w:val="55D627FF"/>
    <w:rsid w:val="55E324E4"/>
    <w:rsid w:val="55F85053"/>
    <w:rsid w:val="56433752"/>
    <w:rsid w:val="56480F09"/>
    <w:rsid w:val="56760176"/>
    <w:rsid w:val="56981D68"/>
    <w:rsid w:val="569A309B"/>
    <w:rsid w:val="569B5AFA"/>
    <w:rsid w:val="56AB1B4D"/>
    <w:rsid w:val="56CF3C8B"/>
    <w:rsid w:val="56F71733"/>
    <w:rsid w:val="570B7366"/>
    <w:rsid w:val="573C6972"/>
    <w:rsid w:val="57511DCF"/>
    <w:rsid w:val="579764DE"/>
    <w:rsid w:val="57C95464"/>
    <w:rsid w:val="57DA5E4C"/>
    <w:rsid w:val="57DB0797"/>
    <w:rsid w:val="58346E83"/>
    <w:rsid w:val="58630573"/>
    <w:rsid w:val="586A4293"/>
    <w:rsid w:val="58A55CAF"/>
    <w:rsid w:val="58C02EA9"/>
    <w:rsid w:val="58C954F7"/>
    <w:rsid w:val="58E871E0"/>
    <w:rsid w:val="58F14725"/>
    <w:rsid w:val="58F858AA"/>
    <w:rsid w:val="59013EDD"/>
    <w:rsid w:val="59194463"/>
    <w:rsid w:val="59741536"/>
    <w:rsid w:val="59E145BE"/>
    <w:rsid w:val="59E9031C"/>
    <w:rsid w:val="5A1F0577"/>
    <w:rsid w:val="5A3F0056"/>
    <w:rsid w:val="5A4126B6"/>
    <w:rsid w:val="5A8F1D12"/>
    <w:rsid w:val="5AA472E6"/>
    <w:rsid w:val="5AC751E1"/>
    <w:rsid w:val="5AE44E29"/>
    <w:rsid w:val="5B0608A4"/>
    <w:rsid w:val="5B2C05C3"/>
    <w:rsid w:val="5B5A7422"/>
    <w:rsid w:val="5B5F18DD"/>
    <w:rsid w:val="5B657684"/>
    <w:rsid w:val="5B90527F"/>
    <w:rsid w:val="5B953D5C"/>
    <w:rsid w:val="5B9B720A"/>
    <w:rsid w:val="5BA6741A"/>
    <w:rsid w:val="5BDE72CB"/>
    <w:rsid w:val="5BF3281A"/>
    <w:rsid w:val="5C06741E"/>
    <w:rsid w:val="5C0F4D00"/>
    <w:rsid w:val="5C166AC8"/>
    <w:rsid w:val="5C407B49"/>
    <w:rsid w:val="5CCE323F"/>
    <w:rsid w:val="5CF57A9E"/>
    <w:rsid w:val="5CF94474"/>
    <w:rsid w:val="5D397258"/>
    <w:rsid w:val="5D501017"/>
    <w:rsid w:val="5D6414AF"/>
    <w:rsid w:val="5DD47A98"/>
    <w:rsid w:val="5E3C428F"/>
    <w:rsid w:val="5E4F23DE"/>
    <w:rsid w:val="5ECD1C76"/>
    <w:rsid w:val="5EF263F0"/>
    <w:rsid w:val="5F54370A"/>
    <w:rsid w:val="5F682518"/>
    <w:rsid w:val="5F7A3598"/>
    <w:rsid w:val="5F8736B0"/>
    <w:rsid w:val="5FB8608F"/>
    <w:rsid w:val="5FE34BFA"/>
    <w:rsid w:val="5FEF59F1"/>
    <w:rsid w:val="600B38F8"/>
    <w:rsid w:val="6034476A"/>
    <w:rsid w:val="604B398D"/>
    <w:rsid w:val="60B32BC0"/>
    <w:rsid w:val="60C064D3"/>
    <w:rsid w:val="610E442B"/>
    <w:rsid w:val="613B3C82"/>
    <w:rsid w:val="61435E1C"/>
    <w:rsid w:val="615722E3"/>
    <w:rsid w:val="61A66839"/>
    <w:rsid w:val="61D16C5F"/>
    <w:rsid w:val="621020F3"/>
    <w:rsid w:val="624C487C"/>
    <w:rsid w:val="62861681"/>
    <w:rsid w:val="62B95518"/>
    <w:rsid w:val="62EF242A"/>
    <w:rsid w:val="62F00414"/>
    <w:rsid w:val="62F37BF4"/>
    <w:rsid w:val="6350372B"/>
    <w:rsid w:val="635D52DB"/>
    <w:rsid w:val="637E452C"/>
    <w:rsid w:val="63FF4A8E"/>
    <w:rsid w:val="640B1344"/>
    <w:rsid w:val="640B1F89"/>
    <w:rsid w:val="6430310F"/>
    <w:rsid w:val="645430D9"/>
    <w:rsid w:val="646B3D6E"/>
    <w:rsid w:val="646C4D95"/>
    <w:rsid w:val="64786062"/>
    <w:rsid w:val="64C913C0"/>
    <w:rsid w:val="64E75F6D"/>
    <w:rsid w:val="64F34FDC"/>
    <w:rsid w:val="654319AF"/>
    <w:rsid w:val="65647D4D"/>
    <w:rsid w:val="65A272D3"/>
    <w:rsid w:val="65AB4C3B"/>
    <w:rsid w:val="65F82EA1"/>
    <w:rsid w:val="6613072F"/>
    <w:rsid w:val="664A21F5"/>
    <w:rsid w:val="665E7946"/>
    <w:rsid w:val="66B85C0F"/>
    <w:rsid w:val="66BB0BDC"/>
    <w:rsid w:val="66C829A4"/>
    <w:rsid w:val="66F64244"/>
    <w:rsid w:val="672916D7"/>
    <w:rsid w:val="676E5820"/>
    <w:rsid w:val="679773E6"/>
    <w:rsid w:val="67D20A8E"/>
    <w:rsid w:val="68026DDA"/>
    <w:rsid w:val="68416C4D"/>
    <w:rsid w:val="6855099E"/>
    <w:rsid w:val="6891110F"/>
    <w:rsid w:val="68A64621"/>
    <w:rsid w:val="68D33A36"/>
    <w:rsid w:val="68DD19AC"/>
    <w:rsid w:val="68EF2641"/>
    <w:rsid w:val="68F94975"/>
    <w:rsid w:val="6904055E"/>
    <w:rsid w:val="69275AB4"/>
    <w:rsid w:val="692D3A23"/>
    <w:rsid w:val="693A4AE6"/>
    <w:rsid w:val="694B2ECC"/>
    <w:rsid w:val="698D2330"/>
    <w:rsid w:val="69AE15E7"/>
    <w:rsid w:val="69D36BF1"/>
    <w:rsid w:val="69E4451B"/>
    <w:rsid w:val="6A161171"/>
    <w:rsid w:val="6A383C24"/>
    <w:rsid w:val="6A6F2066"/>
    <w:rsid w:val="6A813691"/>
    <w:rsid w:val="6AA51482"/>
    <w:rsid w:val="6AB73AE6"/>
    <w:rsid w:val="6B54324E"/>
    <w:rsid w:val="6B81035E"/>
    <w:rsid w:val="6BB22514"/>
    <w:rsid w:val="6BD0302A"/>
    <w:rsid w:val="6BF9783E"/>
    <w:rsid w:val="6C157EAC"/>
    <w:rsid w:val="6C3B3E30"/>
    <w:rsid w:val="6C4A6DCA"/>
    <w:rsid w:val="6C661393"/>
    <w:rsid w:val="6C82077A"/>
    <w:rsid w:val="6CC30C52"/>
    <w:rsid w:val="6D114D78"/>
    <w:rsid w:val="6D2E3F2F"/>
    <w:rsid w:val="6D4C705F"/>
    <w:rsid w:val="6D594031"/>
    <w:rsid w:val="6DAC1B44"/>
    <w:rsid w:val="6DFF0DB9"/>
    <w:rsid w:val="6E470773"/>
    <w:rsid w:val="6E590AB8"/>
    <w:rsid w:val="6ED773B1"/>
    <w:rsid w:val="6F626483"/>
    <w:rsid w:val="6F72645F"/>
    <w:rsid w:val="6F7C3B73"/>
    <w:rsid w:val="6FC86853"/>
    <w:rsid w:val="700556DA"/>
    <w:rsid w:val="70DD1197"/>
    <w:rsid w:val="70EA60A7"/>
    <w:rsid w:val="7118052A"/>
    <w:rsid w:val="71331E0D"/>
    <w:rsid w:val="717855F3"/>
    <w:rsid w:val="71D23191"/>
    <w:rsid w:val="71DB63BE"/>
    <w:rsid w:val="71E54EEE"/>
    <w:rsid w:val="71F525D4"/>
    <w:rsid w:val="720D18E1"/>
    <w:rsid w:val="722F297B"/>
    <w:rsid w:val="726A1A9C"/>
    <w:rsid w:val="727E7F67"/>
    <w:rsid w:val="72EA4601"/>
    <w:rsid w:val="731F187D"/>
    <w:rsid w:val="73770109"/>
    <w:rsid w:val="73BA09E1"/>
    <w:rsid w:val="73C734DE"/>
    <w:rsid w:val="73CA5378"/>
    <w:rsid w:val="73E3180A"/>
    <w:rsid w:val="747674F2"/>
    <w:rsid w:val="748708B7"/>
    <w:rsid w:val="748E1E66"/>
    <w:rsid w:val="74A424AF"/>
    <w:rsid w:val="754A2478"/>
    <w:rsid w:val="760102EA"/>
    <w:rsid w:val="76305CC2"/>
    <w:rsid w:val="764D3861"/>
    <w:rsid w:val="76524C31"/>
    <w:rsid w:val="767A0263"/>
    <w:rsid w:val="767E608D"/>
    <w:rsid w:val="772B7AE9"/>
    <w:rsid w:val="77351C8E"/>
    <w:rsid w:val="77720CF0"/>
    <w:rsid w:val="77BA518F"/>
    <w:rsid w:val="77BB4F79"/>
    <w:rsid w:val="78252C45"/>
    <w:rsid w:val="78B025BA"/>
    <w:rsid w:val="78D2280F"/>
    <w:rsid w:val="78D25085"/>
    <w:rsid w:val="78DA25A5"/>
    <w:rsid w:val="792148B1"/>
    <w:rsid w:val="79352B64"/>
    <w:rsid w:val="7940745C"/>
    <w:rsid w:val="79473300"/>
    <w:rsid w:val="7959199E"/>
    <w:rsid w:val="79633F17"/>
    <w:rsid w:val="79701FC3"/>
    <w:rsid w:val="79CA09B0"/>
    <w:rsid w:val="79FB6B8D"/>
    <w:rsid w:val="79FD3E8A"/>
    <w:rsid w:val="7A2C7376"/>
    <w:rsid w:val="7A565BB2"/>
    <w:rsid w:val="7A582F7A"/>
    <w:rsid w:val="7A6A5D89"/>
    <w:rsid w:val="7AE6075D"/>
    <w:rsid w:val="7AF07DFF"/>
    <w:rsid w:val="7AF201AD"/>
    <w:rsid w:val="7BB66EFF"/>
    <w:rsid w:val="7BD25FB5"/>
    <w:rsid w:val="7BF1730F"/>
    <w:rsid w:val="7BF844E8"/>
    <w:rsid w:val="7BF9211A"/>
    <w:rsid w:val="7C041356"/>
    <w:rsid w:val="7C055E15"/>
    <w:rsid w:val="7C077139"/>
    <w:rsid w:val="7C21323A"/>
    <w:rsid w:val="7C3A39CC"/>
    <w:rsid w:val="7C9E0AD2"/>
    <w:rsid w:val="7CAD018E"/>
    <w:rsid w:val="7CFA0A37"/>
    <w:rsid w:val="7D4A732D"/>
    <w:rsid w:val="7DB93F63"/>
    <w:rsid w:val="7DBD5EEB"/>
    <w:rsid w:val="7DC05F79"/>
    <w:rsid w:val="7DE91632"/>
    <w:rsid w:val="7E056DC8"/>
    <w:rsid w:val="7E101485"/>
    <w:rsid w:val="7E296E1D"/>
    <w:rsid w:val="7E4A2BD0"/>
    <w:rsid w:val="7E590598"/>
    <w:rsid w:val="7EB47B5E"/>
    <w:rsid w:val="7EC05525"/>
    <w:rsid w:val="7EC123AC"/>
    <w:rsid w:val="7F0E19B4"/>
    <w:rsid w:val="7F3077C9"/>
    <w:rsid w:val="7F597D38"/>
    <w:rsid w:val="7F854E87"/>
    <w:rsid w:val="7FBB5C47"/>
    <w:rsid w:val="7FD97164"/>
    <w:rsid w:val="7FEB15F0"/>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2"/>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1"/>
    <w:next w:val="1"/>
    <w:qFormat/>
    <w:uiPriority w:val="0"/>
    <w:pPr>
      <w:keepNext/>
      <w:numPr>
        <w:ilvl w:val="1"/>
        <w:numId w:val="1"/>
      </w:numPr>
      <w:tabs>
        <w:tab w:val="left" w:pos="612"/>
      </w:tabs>
      <w:spacing w:before="240" w:after="240"/>
      <w:outlineLvl w:val="1"/>
    </w:pPr>
    <w:rPr>
      <w:rFonts w:ascii="Arial" w:hAnsi="Arial" w:eastAsia="宋体" w:cs="Arial"/>
      <w:bCs/>
      <w:iCs/>
      <w:sz w:val="28"/>
      <w:szCs w:val="28"/>
      <w:lang w:val="en-US" w:eastAsia="zh-CN"/>
    </w:rPr>
  </w:style>
  <w:style w:type="paragraph" w:styleId="4">
    <w:name w:val="heading 3"/>
    <w:basedOn w:val="1"/>
    <w:next w:val="1"/>
    <w:qFormat/>
    <w:uiPriority w:val="0"/>
    <w:pPr>
      <w:keepNext/>
      <w:numPr>
        <w:ilvl w:val="2"/>
        <w:numId w:val="1"/>
      </w:numPr>
      <w:tabs>
        <w:tab w:val="left" w:pos="612"/>
      </w:tabs>
      <w:spacing w:before="240" w:after="60"/>
      <w:outlineLvl w:val="2"/>
    </w:pPr>
    <w:rPr>
      <w:rFonts w:cs="Arial"/>
      <w:b/>
      <w:bCs/>
      <w:sz w:val="24"/>
      <w:szCs w:val="26"/>
    </w:rPr>
  </w:style>
  <w:style w:type="paragraph" w:styleId="5">
    <w:name w:val="heading 4"/>
    <w:basedOn w:val="1"/>
    <w:next w:val="1"/>
    <w:link w:val="71"/>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8"/>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79"/>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4">
    <w:name w:val="Default Paragraph Font"/>
    <w:unhideWhenUsed/>
    <w:uiPriority w:val="1"/>
  </w:style>
  <w:style w:type="table" w:default="1" w:styleId="30">
    <w:name w:val="Normal Table"/>
    <w:unhideWhenUsed/>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6"/>
    <w:unhideWhenUsed/>
    <w:qFormat/>
    <w:uiPriority w:val="99"/>
    <w:rPr>
      <w:b/>
      <w:bCs/>
    </w:rPr>
  </w:style>
  <w:style w:type="paragraph" w:styleId="13">
    <w:name w:val="annotation text"/>
    <w:basedOn w:val="1"/>
    <w:link w:val="35"/>
    <w:unhideWhenUsed/>
    <w:qFormat/>
    <w:uiPriority w:val="0"/>
  </w:style>
  <w:style w:type="paragraph" w:styleId="14">
    <w:name w:val="caption"/>
    <w:basedOn w:val="1"/>
    <w:next w:val="1"/>
    <w:link w:val="57"/>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Balloon Text"/>
    <w:basedOn w:val="1"/>
    <w:link w:val="37"/>
    <w:unhideWhenUsed/>
    <w:qFormat/>
    <w:uiPriority w:val="99"/>
    <w:pPr>
      <w:spacing w:after="0"/>
    </w:pPr>
    <w:rPr>
      <w:rFonts w:ascii="Tahoma" w:hAnsi="Tahoma" w:cs="Tahoma"/>
      <w:sz w:val="16"/>
      <w:szCs w:val="16"/>
    </w:rPr>
  </w:style>
  <w:style w:type="paragraph" w:styleId="19">
    <w:name w:val="footer"/>
    <w:basedOn w:val="1"/>
    <w:link w:val="39"/>
    <w:unhideWhenUsed/>
    <w:qFormat/>
    <w:uiPriority w:val="99"/>
    <w:pPr>
      <w:tabs>
        <w:tab w:val="center" w:pos="4513"/>
        <w:tab w:val="right" w:pos="9026"/>
      </w:tabs>
      <w:snapToGrid w:val="0"/>
    </w:pPr>
  </w:style>
  <w:style w:type="paragraph" w:styleId="20">
    <w:name w:val="header"/>
    <w:link w:val="3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1">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2">
    <w:name w:val="List"/>
    <w:basedOn w:val="1"/>
    <w:qFormat/>
    <w:uiPriority w:val="0"/>
    <w:pPr>
      <w:ind w:left="283" w:hanging="283"/>
    </w:pPr>
  </w:style>
  <w:style w:type="paragraph" w:styleId="23">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5">
    <w:name w:val="page number"/>
    <w:basedOn w:val="24"/>
    <w:unhideWhenUsed/>
    <w:qFormat/>
    <w:uiPriority w:val="99"/>
  </w:style>
  <w:style w:type="character" w:styleId="26">
    <w:name w:val="FollowedHyperlink"/>
    <w:basedOn w:val="24"/>
    <w:qFormat/>
    <w:uiPriority w:val="0"/>
    <w:rPr>
      <w:color w:val="800080"/>
      <w:u w:val="single"/>
    </w:rPr>
  </w:style>
  <w:style w:type="character" w:styleId="27">
    <w:name w:val="Hyperlink"/>
    <w:basedOn w:val="24"/>
    <w:unhideWhenUsed/>
    <w:qFormat/>
    <w:uiPriority w:val="99"/>
    <w:rPr>
      <w:color w:val="0000FF"/>
      <w:u w:val="single"/>
    </w:rPr>
  </w:style>
  <w:style w:type="character" w:styleId="28">
    <w:name w:val="annotation reference"/>
    <w:basedOn w:val="24"/>
    <w:unhideWhenUsed/>
    <w:qFormat/>
    <w:uiPriority w:val="0"/>
    <w:rPr>
      <w:sz w:val="16"/>
      <w:szCs w:val="16"/>
    </w:rPr>
  </w:style>
  <w:style w:type="character" w:styleId="29">
    <w:name w:val="footnote reference"/>
    <w:basedOn w:val="24"/>
    <w:semiHidden/>
    <w:qFormat/>
    <w:uiPriority w:val="0"/>
    <w:rPr>
      <w:rFonts w:eastAsia="Times New Roman"/>
      <w:b/>
      <w:kern w:val="2"/>
      <w:position w:val="6"/>
      <w:sz w:val="16"/>
      <w:lang w:val="en-GB"/>
    </w:rPr>
  </w:style>
  <w:style w:type="table" w:styleId="31">
    <w:name w:val="Table Grid"/>
    <w:basedOn w:val="30"/>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2">
    <w:name w:val="Heading 1 Char"/>
    <w:basedOn w:val="24"/>
    <w:link w:val="2"/>
    <w:qFormat/>
    <w:uiPriority w:val="0"/>
    <w:rPr>
      <w:rFonts w:ascii="Arial" w:hAnsi="Arial"/>
      <w:b/>
      <w:sz w:val="32"/>
      <w:szCs w:val="32"/>
    </w:rPr>
  </w:style>
  <w:style w:type="character" w:customStyle="1" w:styleId="33">
    <w:name w:val="Header Char"/>
    <w:basedOn w:val="24"/>
    <w:link w:val="20"/>
    <w:qFormat/>
    <w:uiPriority w:val="0"/>
    <w:rPr>
      <w:rFonts w:ascii="Arial" w:hAnsi="Arial" w:eastAsia="Times New Roman"/>
      <w:b/>
      <w:sz w:val="18"/>
      <w:lang w:val="en-US" w:eastAsia="en-US" w:bidi="ar-SA"/>
    </w:rPr>
  </w:style>
  <w:style w:type="paragraph" w:customStyle="1" w:styleId="34">
    <w:name w:val="CR Cover Page"/>
    <w:qFormat/>
    <w:uiPriority w:val="0"/>
    <w:pPr>
      <w:spacing w:after="120" w:line="276" w:lineRule="auto"/>
    </w:pPr>
    <w:rPr>
      <w:rFonts w:ascii="Arial" w:hAnsi="Arial" w:eastAsia="MS Mincho" w:cs="Times New Roman"/>
      <w:lang w:val="en-GB" w:eastAsia="en-US" w:bidi="ar-SA"/>
    </w:rPr>
  </w:style>
  <w:style w:type="character" w:customStyle="1" w:styleId="35">
    <w:name w:val="Comment Text Char"/>
    <w:basedOn w:val="24"/>
    <w:link w:val="13"/>
    <w:semiHidden/>
    <w:qFormat/>
    <w:uiPriority w:val="99"/>
    <w:rPr>
      <w:rFonts w:ascii="Times New Roman" w:hAnsi="Times New Roman" w:eastAsia="Times New Roman" w:cs="Times New Roman"/>
      <w:sz w:val="20"/>
      <w:szCs w:val="20"/>
      <w:lang w:val="en-GB"/>
    </w:rPr>
  </w:style>
  <w:style w:type="character" w:customStyle="1" w:styleId="36">
    <w:name w:val="Comment Subject Char"/>
    <w:basedOn w:val="35"/>
    <w:link w:val="12"/>
    <w:semiHidden/>
    <w:qFormat/>
    <w:uiPriority w:val="99"/>
    <w:rPr>
      <w:rFonts w:ascii="Times New Roman" w:hAnsi="Times New Roman" w:eastAsia="Times New Roman" w:cs="Times New Roman"/>
      <w:b/>
      <w:bCs/>
      <w:sz w:val="20"/>
      <w:szCs w:val="20"/>
      <w:lang w:val="en-GB"/>
    </w:rPr>
  </w:style>
  <w:style w:type="character" w:customStyle="1" w:styleId="37">
    <w:name w:val="Balloon Text Char"/>
    <w:basedOn w:val="24"/>
    <w:link w:val="18"/>
    <w:semiHidden/>
    <w:qFormat/>
    <w:uiPriority w:val="99"/>
    <w:rPr>
      <w:rFonts w:ascii="Tahoma" w:hAnsi="Tahoma" w:eastAsia="Times New Roman" w:cs="Tahoma"/>
      <w:sz w:val="16"/>
      <w:szCs w:val="16"/>
      <w:lang w:val="en-GB"/>
    </w:rPr>
  </w:style>
  <w:style w:type="paragraph" w:customStyle="1" w:styleId="38">
    <w:name w:val="List Paragraph1"/>
    <w:basedOn w:val="1"/>
    <w:qFormat/>
    <w:uiPriority w:val="0"/>
    <w:pPr>
      <w:ind w:left="720"/>
      <w:contextualSpacing/>
    </w:pPr>
  </w:style>
  <w:style w:type="character" w:customStyle="1" w:styleId="39">
    <w:name w:val="Footer Char"/>
    <w:basedOn w:val="24"/>
    <w:link w:val="19"/>
    <w:qFormat/>
    <w:uiPriority w:val="99"/>
    <w:rPr>
      <w:rFonts w:ascii="Times New Roman" w:hAnsi="Times New Roman" w:eastAsia="Times New Roman"/>
      <w:lang w:val="en-GB" w:eastAsia="en-US"/>
    </w:rPr>
  </w:style>
  <w:style w:type="paragraph" w:customStyle="1" w:styleId="40">
    <w:name w:val="Doc-text2"/>
    <w:basedOn w:val="1"/>
    <w:link w:val="4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1">
    <w:name w:val="Doc-text2 Char"/>
    <w:basedOn w:val="24"/>
    <w:link w:val="40"/>
    <w:qFormat/>
    <w:uiPriority w:val="0"/>
    <w:rPr>
      <w:rFonts w:ascii="Arial" w:hAnsi="Arial" w:eastAsia="MS Mincho"/>
      <w:szCs w:val="24"/>
      <w:lang w:val="en-GB" w:eastAsia="en-GB" w:bidi="ar-SA"/>
    </w:rPr>
  </w:style>
  <w:style w:type="paragraph" w:customStyle="1" w:styleId="42">
    <w:name w:val="B1"/>
    <w:basedOn w:val="1"/>
    <w:link w:val="43"/>
    <w:qFormat/>
    <w:uiPriority w:val="0"/>
    <w:pPr>
      <w:overflowPunct/>
      <w:autoSpaceDE/>
      <w:autoSpaceDN/>
      <w:adjustRightInd/>
      <w:ind w:left="568" w:hanging="284"/>
      <w:textAlignment w:val="auto"/>
    </w:pPr>
    <w:rPr>
      <w:rFonts w:eastAsia="MS Mincho"/>
    </w:rPr>
  </w:style>
  <w:style w:type="character" w:customStyle="1" w:styleId="43">
    <w:name w:val="B1 Char1"/>
    <w:basedOn w:val="24"/>
    <w:link w:val="42"/>
    <w:qFormat/>
    <w:uiPriority w:val="0"/>
    <w:rPr>
      <w:rFonts w:eastAsia="MS Mincho"/>
      <w:lang w:val="en-GB" w:eastAsia="en-US" w:bidi="ar-SA"/>
    </w:rPr>
  </w:style>
  <w:style w:type="paragraph" w:customStyle="1" w:styleId="44">
    <w:name w:val="Style Numbered (Latin) Bold Before:  0 cm Hanging:  063 cm"/>
    <w:next w:val="22"/>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5">
    <w:name w:val="NO"/>
    <w:basedOn w:val="1"/>
    <w:link w:val="46"/>
    <w:qFormat/>
    <w:uiPriority w:val="0"/>
    <w:pPr>
      <w:keepLines/>
      <w:overflowPunct/>
      <w:autoSpaceDE/>
      <w:autoSpaceDN/>
      <w:adjustRightInd/>
      <w:ind w:left="1135" w:hanging="851"/>
      <w:textAlignment w:val="auto"/>
    </w:pPr>
    <w:rPr>
      <w:rFonts w:eastAsia="MS Mincho"/>
    </w:rPr>
  </w:style>
  <w:style w:type="character" w:customStyle="1" w:styleId="46">
    <w:name w:val="NO Char"/>
    <w:basedOn w:val="24"/>
    <w:link w:val="45"/>
    <w:qFormat/>
    <w:uiPriority w:val="0"/>
    <w:rPr>
      <w:rFonts w:eastAsia="MS Mincho"/>
      <w:lang w:val="en-GB" w:eastAsia="en-US" w:bidi="ar-SA"/>
    </w:rPr>
  </w:style>
  <w:style w:type="paragraph" w:customStyle="1" w:styleId="47">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49">
    <w:name w:val="B2"/>
    <w:basedOn w:val="1"/>
    <w:link w:val="58"/>
    <w:qFormat/>
    <w:uiPriority w:val="0"/>
    <w:pPr>
      <w:overflowPunct/>
      <w:autoSpaceDE/>
      <w:autoSpaceDN/>
      <w:adjustRightInd/>
      <w:ind w:left="851" w:hanging="284"/>
      <w:textAlignment w:val="auto"/>
    </w:pPr>
  </w:style>
  <w:style w:type="paragraph" w:customStyle="1" w:styleId="50">
    <w:name w:val="TAL"/>
    <w:basedOn w:val="1"/>
    <w:link w:val="51"/>
    <w:qFormat/>
    <w:uiPriority w:val="0"/>
    <w:pPr>
      <w:keepNext/>
      <w:keepLines/>
      <w:spacing w:after="0"/>
    </w:pPr>
    <w:rPr>
      <w:rFonts w:ascii="Arial" w:hAnsi="Arial"/>
      <w:sz w:val="18"/>
      <w:lang w:eastAsia="ja-JP"/>
    </w:rPr>
  </w:style>
  <w:style w:type="character" w:customStyle="1" w:styleId="51">
    <w:name w:val="TAL Char"/>
    <w:basedOn w:val="24"/>
    <w:link w:val="50"/>
    <w:qFormat/>
    <w:uiPriority w:val="0"/>
    <w:rPr>
      <w:rFonts w:ascii="Arial" w:hAnsi="Arial"/>
      <w:sz w:val="18"/>
      <w:lang w:val="en-GB" w:eastAsia="ja-JP" w:bidi="ar-SA"/>
    </w:rPr>
  </w:style>
  <w:style w:type="paragraph" w:customStyle="1" w:styleId="52">
    <w:name w:val="TAH"/>
    <w:basedOn w:val="1"/>
    <w:link w:val="53"/>
    <w:qFormat/>
    <w:uiPriority w:val="0"/>
    <w:pPr>
      <w:keepNext/>
      <w:keepLines/>
      <w:spacing w:after="0"/>
      <w:jc w:val="center"/>
    </w:pPr>
    <w:rPr>
      <w:rFonts w:ascii="Arial" w:hAnsi="Arial"/>
      <w:b/>
      <w:sz w:val="18"/>
      <w:lang w:eastAsia="ja-JP"/>
    </w:rPr>
  </w:style>
  <w:style w:type="character" w:customStyle="1" w:styleId="53">
    <w:name w:val="TAH Char"/>
    <w:basedOn w:val="24"/>
    <w:link w:val="52"/>
    <w:qFormat/>
    <w:uiPriority w:val="0"/>
    <w:rPr>
      <w:rFonts w:ascii="Arial" w:hAnsi="Arial"/>
      <w:b/>
      <w:sz w:val="18"/>
      <w:lang w:val="en-GB" w:eastAsia="ja-JP" w:bidi="ar-SA"/>
    </w:rPr>
  </w:style>
  <w:style w:type="character" w:customStyle="1" w:styleId="54">
    <w:name w:val="msoins"/>
    <w:basedOn w:val="24"/>
    <w:qFormat/>
    <w:uiPriority w:val="0"/>
  </w:style>
  <w:style w:type="paragraph" w:customStyle="1" w:styleId="55">
    <w:name w:val="Text"/>
    <w:basedOn w:val="1"/>
    <w:link w:val="56"/>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6">
    <w:name w:val="Text Car"/>
    <w:basedOn w:val="24"/>
    <w:link w:val="55"/>
    <w:qFormat/>
    <w:uiPriority w:val="0"/>
    <w:rPr>
      <w:rFonts w:ascii="Arial" w:hAnsi="Arial"/>
      <w:lang w:val="en-US" w:eastAsia="en-US" w:bidi="ar-SA"/>
    </w:rPr>
  </w:style>
  <w:style w:type="character" w:customStyle="1" w:styleId="57">
    <w:name w:val="Caption Char"/>
    <w:basedOn w:val="24"/>
    <w:link w:val="14"/>
    <w:qFormat/>
    <w:uiPriority w:val="0"/>
    <w:rPr>
      <w:b/>
      <w:bCs/>
      <w:lang w:val="en-GB" w:eastAsia="en-US" w:bidi="ar-SA"/>
    </w:rPr>
  </w:style>
  <w:style w:type="character" w:customStyle="1" w:styleId="58">
    <w:name w:val="B2 Char1"/>
    <w:basedOn w:val="35"/>
    <w:link w:val="49"/>
    <w:qFormat/>
    <w:uiPriority w:val="0"/>
    <w:rPr>
      <w:rFonts w:ascii="Times New Roman" w:hAnsi="Times New Roman" w:eastAsia="Times New Roman" w:cs="Times New Roman"/>
      <w:sz w:val="20"/>
      <w:szCs w:val="20"/>
      <w:lang w:val="en-GB" w:eastAsia="en-US" w:bidi="ar-SA"/>
    </w:rPr>
  </w:style>
  <w:style w:type="paragraph" w:customStyle="1" w:styleId="59">
    <w:name w:val="Reference"/>
    <w:basedOn w:val="1"/>
    <w:link w:val="90"/>
    <w:qFormat/>
    <w:uiPriority w:val="0"/>
    <w:pPr>
      <w:numPr>
        <w:ilvl w:val="0"/>
        <w:numId w:val="3"/>
      </w:numPr>
      <w:ind w:right="-99"/>
    </w:pPr>
    <w:rPr>
      <w:rFonts w:eastAsia="MS Mincho"/>
    </w:rPr>
  </w:style>
  <w:style w:type="paragraph" w:customStyle="1" w:styleId="60">
    <w:name w:val="Doc-title"/>
    <w:basedOn w:val="1"/>
    <w:next w:val="40"/>
    <w:link w:val="61"/>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1">
    <w:name w:val="Doc-title Char"/>
    <w:basedOn w:val="24"/>
    <w:link w:val="60"/>
    <w:qFormat/>
    <w:uiPriority w:val="0"/>
    <w:rPr>
      <w:rFonts w:ascii="Arial" w:hAnsi="Arial" w:eastAsia="MS Mincho"/>
      <w:szCs w:val="24"/>
      <w:lang w:val="en-GB" w:eastAsia="en-GB" w:bidi="ar-SA"/>
    </w:rPr>
  </w:style>
  <w:style w:type="paragraph" w:customStyle="1" w:styleId="62">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3">
    <w:name w:val="TAL + Left: 1"/>
    <w:basedOn w:val="50"/>
    <w:qFormat/>
    <w:uiPriority w:val="0"/>
    <w:pPr>
      <w:ind w:left="567"/>
    </w:pPr>
    <w:rPr>
      <w:lang w:eastAsia="en-US"/>
    </w:rPr>
  </w:style>
  <w:style w:type="paragraph" w:customStyle="1" w:styleId="64">
    <w:name w:val="TAL + Left:  1"/>
    <w:basedOn w:val="50"/>
    <w:link w:val="65"/>
    <w:qFormat/>
    <w:uiPriority w:val="0"/>
    <w:pPr>
      <w:ind w:left="567"/>
    </w:pPr>
    <w:rPr>
      <w:lang w:eastAsia="en-GB"/>
    </w:rPr>
  </w:style>
  <w:style w:type="character" w:customStyle="1" w:styleId="65">
    <w:name w:val="TAL + Left:  1;00 cm Char Char"/>
    <w:basedOn w:val="51"/>
    <w:link w:val="64"/>
    <w:qFormat/>
    <w:uiPriority w:val="0"/>
    <w:rPr>
      <w:rFonts w:ascii="Arial" w:hAnsi="Arial"/>
      <w:sz w:val="18"/>
      <w:lang w:val="en-GB" w:eastAsia="en-GB" w:bidi="ar-SA"/>
    </w:rPr>
  </w:style>
  <w:style w:type="paragraph" w:customStyle="1" w:styleId="6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7">
    <w:name w:val="header odd Char"/>
    <w:basedOn w:val="24"/>
    <w:qFormat/>
    <w:uiPriority w:val="0"/>
    <w:rPr>
      <w:lang w:val="en-GB" w:eastAsia="en-US" w:bidi="ar-SA"/>
    </w:rPr>
  </w:style>
  <w:style w:type="character" w:customStyle="1" w:styleId="68">
    <w:name w:val="B1 Char"/>
    <w:basedOn w:val="24"/>
    <w:qFormat/>
    <w:uiPriority w:val="0"/>
    <w:rPr>
      <w:rFonts w:ascii="Times New Roman" w:hAnsi="Times New Roman"/>
      <w:lang w:val="en-GB" w:eastAsia="en-US"/>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0">
    <w:name w:val="PL Char"/>
    <w:basedOn w:val="24"/>
    <w:link w:val="69"/>
    <w:qFormat/>
    <w:uiPriority w:val="0"/>
    <w:rPr>
      <w:rFonts w:ascii="Courier New" w:hAnsi="Courier New" w:eastAsia="宋体"/>
      <w:sz w:val="16"/>
      <w:lang w:val="en-GB" w:eastAsia="ja-JP" w:bidi="ar-SA"/>
    </w:rPr>
  </w:style>
  <w:style w:type="character" w:customStyle="1" w:styleId="71">
    <w:name w:val="Heading 4 Char"/>
    <w:basedOn w:val="24"/>
    <w:link w:val="5"/>
    <w:qFormat/>
    <w:uiPriority w:val="0"/>
    <w:rPr>
      <w:rFonts w:ascii="Times New Roman" w:hAnsi="Times New Roman" w:eastAsia="Times New Roman"/>
      <w:b/>
      <w:bCs/>
      <w:sz w:val="28"/>
      <w:szCs w:val="28"/>
      <w:lang w:val="en-GB" w:eastAsia="en-US"/>
    </w:rPr>
  </w:style>
  <w:style w:type="paragraph" w:customStyle="1" w:styleId="72">
    <w:name w:val="TAC"/>
    <w:basedOn w:val="50"/>
    <w:link w:val="73"/>
    <w:qFormat/>
    <w:uiPriority w:val="0"/>
    <w:pPr>
      <w:jc w:val="center"/>
    </w:pPr>
  </w:style>
  <w:style w:type="character" w:customStyle="1" w:styleId="73">
    <w:name w:val="TAC Char"/>
    <w:link w:val="72"/>
    <w:qFormat/>
    <w:uiPriority w:val="0"/>
    <w:rPr>
      <w:rFonts w:ascii="Arial" w:hAnsi="Arial" w:eastAsia="Times New Roman"/>
      <w:sz w:val="18"/>
      <w:lang w:val="en-GB" w:eastAsia="ja-JP"/>
    </w:rPr>
  </w:style>
  <w:style w:type="paragraph" w:customStyle="1" w:styleId="74">
    <w:name w:val="列出段落1"/>
    <w:basedOn w:val="1"/>
    <w:link w:val="92"/>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5">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7">
    <w:name w:val="占位符文本1"/>
    <w:basedOn w:val="24"/>
    <w:semiHidden/>
    <w:qFormat/>
    <w:uiPriority w:val="99"/>
    <w:rPr>
      <w:color w:val="808080"/>
    </w:rPr>
  </w:style>
  <w:style w:type="character" w:customStyle="1" w:styleId="78">
    <w:name w:val="Heading 8 Char"/>
    <w:basedOn w:val="24"/>
    <w:link w:val="9"/>
    <w:qFormat/>
    <w:uiPriority w:val="0"/>
    <w:rPr>
      <w:rFonts w:ascii="Arial" w:hAnsi="Arial" w:eastAsia="宋体"/>
      <w:kern w:val="2"/>
      <w:sz w:val="21"/>
      <w:szCs w:val="24"/>
    </w:rPr>
  </w:style>
  <w:style w:type="character" w:customStyle="1" w:styleId="79">
    <w:name w:val="Heading 9 Char"/>
    <w:basedOn w:val="24"/>
    <w:link w:val="11"/>
    <w:qFormat/>
    <w:uiPriority w:val="0"/>
    <w:rPr>
      <w:rFonts w:ascii="Arial" w:hAnsi="Arial" w:eastAsia="宋体"/>
      <w:kern w:val="2"/>
      <w:sz w:val="21"/>
      <w:szCs w:val="24"/>
    </w:rPr>
  </w:style>
  <w:style w:type="paragraph" w:customStyle="1" w:styleId="80">
    <w:name w:val="EQ"/>
    <w:basedOn w:val="1"/>
    <w:next w:val="1"/>
    <w:qFormat/>
    <w:uiPriority w:val="0"/>
    <w:pPr>
      <w:keepLines/>
      <w:tabs>
        <w:tab w:val="center" w:pos="4536"/>
        <w:tab w:val="right" w:pos="9072"/>
      </w:tabs>
    </w:pPr>
    <w:rPr>
      <w:lang w:eastAsia="en-GB"/>
    </w:rPr>
  </w:style>
  <w:style w:type="paragraph" w:customStyle="1" w:styleId="81">
    <w:name w:val="TH"/>
    <w:basedOn w:val="1"/>
    <w:link w:val="83"/>
    <w:qFormat/>
    <w:uiPriority w:val="0"/>
    <w:pPr>
      <w:keepNext/>
      <w:keepLines/>
      <w:spacing w:before="60"/>
      <w:jc w:val="center"/>
    </w:pPr>
    <w:rPr>
      <w:rFonts w:ascii="Arial" w:hAnsi="Arial"/>
      <w:b/>
      <w:sz w:val="20"/>
      <w:lang w:eastAsia="en-GB"/>
    </w:rPr>
  </w:style>
  <w:style w:type="paragraph" w:customStyle="1" w:styleId="82">
    <w:name w:val="TF"/>
    <w:basedOn w:val="81"/>
    <w:qFormat/>
    <w:uiPriority w:val="0"/>
    <w:pPr>
      <w:keepNext w:val="0"/>
      <w:spacing w:before="0" w:after="240"/>
    </w:pPr>
  </w:style>
  <w:style w:type="character" w:customStyle="1" w:styleId="83">
    <w:name w:val="TH Char"/>
    <w:link w:val="81"/>
    <w:qFormat/>
    <w:uiPriority w:val="0"/>
    <w:rPr>
      <w:rFonts w:ascii="Arial" w:hAnsi="Arial" w:eastAsia="Times New Roman"/>
      <w:b/>
      <w:lang w:val="en-GB" w:eastAsia="en-GB"/>
    </w:rPr>
  </w:style>
  <w:style w:type="character" w:customStyle="1" w:styleId="84">
    <w:name w:val="B1 (文字)"/>
    <w:basedOn w:val="24"/>
    <w:qFormat/>
    <w:uiPriority w:val="0"/>
    <w:rPr>
      <w:rFonts w:eastAsia="Times New Roman"/>
    </w:rPr>
  </w:style>
  <w:style w:type="character" w:customStyle="1" w:styleId="85">
    <w:name w:val="MTEquationSection"/>
    <w:basedOn w:val="24"/>
    <w:qFormat/>
    <w:uiPriority w:val="0"/>
    <w:rPr>
      <w:rFonts w:cs="Arial"/>
      <w:bCs/>
      <w:vanish/>
      <w:color w:val="FF0000"/>
      <w:sz w:val="28"/>
      <w:szCs w:val="28"/>
      <w:lang w:eastAsia="zh-CN"/>
    </w:rPr>
  </w:style>
  <w:style w:type="paragraph" w:customStyle="1" w:styleId="86">
    <w:name w:val="MTDisplayEquation"/>
    <w:basedOn w:val="1"/>
    <w:next w:val="1"/>
    <w:link w:val="87"/>
    <w:qFormat/>
    <w:uiPriority w:val="0"/>
    <w:pPr>
      <w:tabs>
        <w:tab w:val="center" w:pos="4680"/>
        <w:tab w:val="right" w:pos="9360"/>
      </w:tabs>
    </w:pPr>
    <w:rPr>
      <w:rFonts w:eastAsia="宋体"/>
      <w:lang w:val="en-US" w:eastAsia="zh-CN"/>
    </w:rPr>
  </w:style>
  <w:style w:type="character" w:customStyle="1" w:styleId="87">
    <w:name w:val="MTDisplayEquation Char"/>
    <w:basedOn w:val="24"/>
    <w:link w:val="86"/>
    <w:qFormat/>
    <w:uiPriority w:val="0"/>
    <w:rPr>
      <w:rFonts w:ascii="Times New Roman" w:hAnsi="Times New Roman" w:eastAsia="宋体"/>
    </w:rPr>
  </w:style>
  <w:style w:type="paragraph" w:customStyle="1" w:styleId="88">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89">
    <w:name w:val="apple-converted-space"/>
    <w:basedOn w:val="24"/>
    <w:qFormat/>
    <w:uiPriority w:val="0"/>
  </w:style>
  <w:style w:type="character" w:customStyle="1" w:styleId="90">
    <w:name w:val="Reference Char"/>
    <w:link w:val="59"/>
    <w:qFormat/>
    <w:uiPriority w:val="0"/>
    <w:rPr>
      <w:rFonts w:ascii="Times New Roman" w:hAnsi="Times New Roman" w:eastAsia="MS Mincho"/>
      <w:sz w:val="22"/>
      <w:lang w:val="en-GB" w:eastAsia="en-US"/>
    </w:rPr>
  </w:style>
  <w:style w:type="paragraph" w:customStyle="1" w:styleId="91">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2">
    <w:name w:val="列出段落 Char"/>
    <w:link w:val="74"/>
    <w:qFormat/>
    <w:uiPriority w:val="34"/>
    <w:rPr>
      <w:rFonts w:ascii="宋体" w:hAnsi="宋体" w:eastAsia="宋体" w:cs="宋体"/>
      <w:sz w:val="24"/>
      <w:szCs w:val="24"/>
    </w:rPr>
  </w:style>
  <w:style w:type="paragraph" w:customStyle="1" w:styleId="93">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4">
    <w:name w:val="_Style 1"/>
    <w:basedOn w:val="1"/>
    <w:qFormat/>
    <w:uiPriority w:val="34"/>
    <w:pPr>
      <w:tabs>
        <w:tab w:val="left" w:pos="1440"/>
      </w:tabs>
      <w:ind w:left="840" w:leftChars="400"/>
    </w:pPr>
  </w:style>
  <w:style w:type="paragraph" w:customStyle="1" w:styleId="95">
    <w:name w:val="列出段落3"/>
    <w:basedOn w:val="1"/>
    <w:qFormat/>
    <w:uiPriority w:val="99"/>
    <w:pPr>
      <w:ind w:firstLine="420" w:firstLineChars="200"/>
    </w:pPr>
  </w:style>
  <w:style w:type="paragraph" w:customStyle="1" w:styleId="96">
    <w:name w:val="列出段落4"/>
    <w:basedOn w:val="1"/>
    <w:qFormat/>
    <w:uiPriority w:val="34"/>
    <w:pPr>
      <w:ind w:left="720"/>
      <w:contextualSpacing/>
    </w:pPr>
  </w:style>
  <w:style w:type="paragraph" w:customStyle="1" w:styleId="97">
    <w:name w:val="列出段落5"/>
    <w:basedOn w:val="1"/>
    <w:qFormat/>
    <w:uiPriority w:val="99"/>
    <w:pPr>
      <w:ind w:firstLine="420" w:firstLineChars="200"/>
    </w:pPr>
  </w:style>
  <w:style w:type="paragraph" w:customStyle="1" w:styleId="98">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99">
    <w:name w:val="列出段落6"/>
    <w:basedOn w:val="1"/>
    <w:qFormat/>
    <w:uiPriority w:val="99"/>
    <w:pPr>
      <w:ind w:firstLine="420" w:firstLineChars="200"/>
    </w:pPr>
  </w:style>
  <w:style w:type="character" w:customStyle="1" w:styleId="100">
    <w:name w:val="Placeholder Text1"/>
    <w:basedOn w:val="24"/>
    <w:semiHidden/>
    <w:qFormat/>
    <w:uiPriority w:val="99"/>
    <w:rPr>
      <w:color w:val="808080"/>
    </w:rPr>
  </w:style>
  <w:style w:type="paragraph" w:customStyle="1" w:styleId="101">
    <w:name w:val="List Paragraph2"/>
    <w:basedOn w:val="1"/>
    <w:qFormat/>
    <w:uiPriority w:val="99"/>
    <w:pPr>
      <w:ind w:firstLine="420" w:firstLineChars="200"/>
    </w:pPr>
  </w:style>
  <w:style w:type="table" w:customStyle="1" w:styleId="102">
    <w:name w:val="Plain Table 11"/>
    <w:basedOn w:val="30"/>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3">
    <w:name w:val="Table Grid Light1"/>
    <w:basedOn w:val="30"/>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paragraph" w:customStyle="1" w:styleId="104">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5">
    <w:name w:val="FP"/>
    <w:basedOn w:val="1"/>
    <w:qFormat/>
    <w:uiPriority w:val="0"/>
    <w:pPr>
      <w:spacing w:after="0" w:line="240" w:lineRule="auto"/>
      <w:jc w:val="left"/>
    </w:pPr>
    <w:rPr>
      <w:sz w:val="20"/>
    </w:rPr>
  </w:style>
  <w:style w:type="paragraph" w:customStyle="1" w:styleId="106">
    <w:name w:val="List Paragraph3"/>
    <w:basedOn w:val="1"/>
    <w:qFormat/>
    <w:uiPriority w:val="99"/>
    <w:pPr>
      <w:spacing w:line="240" w:lineRule="auto"/>
      <w:ind w:firstLine="420" w:firstLineChars="200"/>
      <w:jc w:val="left"/>
    </w:pPr>
    <w:rPr>
      <w:rFonts w:eastAsia="Malgun Gothic"/>
      <w:sz w:val="20"/>
    </w:rPr>
  </w:style>
  <w:style w:type="paragraph" w:customStyle="1" w:styleId="107">
    <w:name w:val="List Paragraph4"/>
    <w:basedOn w:val="1"/>
    <w:qFormat/>
    <w:uiPriority w:val="99"/>
    <w:pPr>
      <w:ind w:firstLine="420" w:firstLineChars="200"/>
    </w:pPr>
  </w:style>
  <w:style w:type="paragraph" w:customStyle="1" w:styleId="108">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09">
    <w:name w:val="List Paragraph5"/>
    <w:basedOn w:val="1"/>
    <w:qFormat/>
    <w:uiPriority w:val="99"/>
    <w:pPr>
      <w:spacing w:line="240" w:lineRule="auto"/>
      <w:ind w:firstLine="420" w:firstLineChars="200"/>
      <w:jc w:val="left"/>
    </w:pPr>
    <w:rPr>
      <w:rFonts w:eastAsia="Malgun Gothic"/>
      <w:sz w:val="20"/>
    </w:rPr>
  </w:style>
  <w:style w:type="paragraph" w:customStyle="1" w:styleId="110">
    <w:name w:val="Comments"/>
    <w:basedOn w:val="1"/>
    <w:link w:val="111"/>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1">
    <w:name w:val="Comments Char"/>
    <w:link w:val="110"/>
    <w:qFormat/>
    <w:uiPriority w:val="0"/>
    <w:rPr>
      <w:rFonts w:ascii="Arial" w:hAnsi="Arial" w:eastAsia="MS Mincho"/>
      <w:i/>
      <w:sz w:val="18"/>
      <w:szCs w:val="24"/>
      <w:lang w:val="en-GB" w:eastAsia="en-GB"/>
    </w:rPr>
  </w:style>
  <w:style w:type="paragraph" w:customStyle="1" w:styleId="112">
    <w:name w:val="List Paragraph6"/>
    <w:basedOn w:val="1"/>
    <w:qFormat/>
    <w:uiPriority w:val="34"/>
    <w:pPr>
      <w:ind w:firstLine="420" w:firstLineChars="200"/>
    </w:pPr>
  </w:style>
  <w:style w:type="table" w:customStyle="1" w:styleId="113">
    <w:name w:val="Plain Table 12"/>
    <w:basedOn w:val="30"/>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4">
    <w:name w:val="Placeholder Text2"/>
    <w:basedOn w:val="24"/>
    <w:semiHidden/>
    <w:qFormat/>
    <w:uiPriority w:val="99"/>
    <w:rPr>
      <w:color w:val="808080"/>
    </w:rPr>
  </w:style>
  <w:style w:type="paragraph" w:customStyle="1" w:styleId="115">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6">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customStyle="1" w:styleId="117">
    <w:name w:val="List Paragraph"/>
    <w:basedOn w:val="1"/>
    <w:unhideWhenUsed/>
    <w:qFormat/>
    <w:uiPriority w:val="34"/>
    <w:pPr>
      <w:ind w:left="720"/>
      <w:contextualSpacing/>
    </w:pPr>
  </w:style>
  <w:style w:type="paragraph" w:customStyle="1" w:styleId="118">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customStyle="1" w:styleId="119">
    <w:name w:val="Placeholder Text"/>
    <w:basedOn w:val="24"/>
    <w:unhideWhenUsed/>
    <w:qFormat/>
    <w:uiPriority w:val="99"/>
    <w:rPr>
      <w:color w:val="808080"/>
    </w:rPr>
  </w:style>
  <w:style w:type="paragraph" w:customStyle="1" w:styleId="120">
    <w:name w:val="List Paragraph8"/>
    <w:basedOn w:val="1"/>
    <w:semiHidden/>
    <w:qFormat/>
    <w:uiPriority w:val="0"/>
    <w:pPr>
      <w:spacing w:before="100" w:beforeAutospacing="1"/>
      <w:ind w:left="720"/>
      <w:contextualSpacing/>
    </w:pPr>
    <w:rPr>
      <w:rFonts w:eastAsia="宋体"/>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2D6282-5627-4CF7-84F3-9B457D83EC6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1394</Words>
  <Characters>7952</Characters>
  <Lines>66</Lines>
  <Paragraphs>18</Paragraphs>
  <TotalTime>0</TotalTime>
  <ScaleCrop>false</ScaleCrop>
  <LinksUpToDate>false</LinksUpToDate>
  <CharactersWithSpaces>9328</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2019-02-14T08:21:00Z</dcterms:created>
  <dc:creator>ZTE</dc:creator>
  <cp:lastModifiedBy>TIANLI10182718</cp:lastModifiedBy>
  <cp:lastPrinted>2011-10-28T05:16:00Z</cp:lastPrinted>
  <dcterms:modified xsi:type="dcterms:W3CDTF">2019-02-14T09:58:29Z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ies>
</file>